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859" w:rsidRPr="00FE70FB" w:rsidRDefault="00B54859" w:rsidP="00B54859">
      <w:pPr>
        <w:rPr>
          <w:rFonts w:ascii="Arial" w:hAnsi="Arial" w:cs="Arial"/>
          <w:b/>
        </w:rPr>
      </w:pPr>
      <w:r w:rsidRPr="00FE70FB">
        <w:rPr>
          <w:rFonts w:ascii="Arial" w:hAnsi="Arial" w:cs="Arial"/>
          <w:b/>
        </w:rPr>
        <w:t>Nadležno Ministarstvo: MINIST</w:t>
      </w:r>
      <w:r>
        <w:rPr>
          <w:rFonts w:ascii="Arial" w:hAnsi="Arial" w:cs="Arial"/>
          <w:b/>
        </w:rPr>
        <w:t xml:space="preserve">ARSTVO ZNANOSTI  I OBRAZOVANJA </w:t>
      </w:r>
    </w:p>
    <w:p w:rsidR="00B54859" w:rsidRPr="00FE70FB" w:rsidRDefault="00B54859" w:rsidP="00B54859">
      <w:pPr>
        <w:rPr>
          <w:rFonts w:ascii="Arial" w:hAnsi="Arial" w:cs="Arial"/>
          <w:b/>
        </w:rPr>
      </w:pPr>
      <w:r w:rsidRPr="00FE70FB">
        <w:rPr>
          <w:rFonts w:ascii="Arial" w:hAnsi="Arial" w:cs="Arial"/>
          <w:b/>
        </w:rPr>
        <w:t>RKDP:10758</w:t>
      </w:r>
    </w:p>
    <w:p w:rsidR="00B54859" w:rsidRPr="00FE70FB" w:rsidRDefault="00B54859" w:rsidP="00B54859">
      <w:pPr>
        <w:rPr>
          <w:rFonts w:ascii="Arial" w:hAnsi="Arial" w:cs="Arial"/>
          <w:b/>
        </w:rPr>
      </w:pPr>
      <w:r w:rsidRPr="00FE70FB">
        <w:rPr>
          <w:rFonts w:ascii="Arial" w:hAnsi="Arial" w:cs="Arial"/>
          <w:b/>
        </w:rPr>
        <w:t>MB. 03090213</w:t>
      </w:r>
    </w:p>
    <w:p w:rsidR="00B54859" w:rsidRPr="00FE70FB" w:rsidRDefault="00B54859" w:rsidP="00B54859">
      <w:pPr>
        <w:rPr>
          <w:rFonts w:ascii="Arial" w:hAnsi="Arial" w:cs="Arial"/>
          <w:b/>
        </w:rPr>
      </w:pPr>
      <w:r w:rsidRPr="00FE70FB">
        <w:rPr>
          <w:rFonts w:ascii="Arial" w:hAnsi="Arial" w:cs="Arial"/>
          <w:b/>
        </w:rPr>
        <w:t>OIB:21940297306</w:t>
      </w:r>
    </w:p>
    <w:p w:rsidR="00B54859" w:rsidRPr="00FE70FB" w:rsidRDefault="00B54859" w:rsidP="00B54859">
      <w:pPr>
        <w:rPr>
          <w:rFonts w:ascii="Arial" w:hAnsi="Arial" w:cs="Arial"/>
          <w:b/>
        </w:rPr>
      </w:pPr>
      <w:r w:rsidRPr="00FE70FB">
        <w:rPr>
          <w:rFonts w:ascii="Arial" w:hAnsi="Arial" w:cs="Arial"/>
          <w:b/>
        </w:rPr>
        <w:t>Šifra djelatnosti: 8520</w:t>
      </w:r>
    </w:p>
    <w:p w:rsidR="00B54859" w:rsidRPr="00FE70FB" w:rsidRDefault="00B54859" w:rsidP="00B54859">
      <w:pPr>
        <w:rPr>
          <w:rFonts w:ascii="Arial" w:hAnsi="Arial" w:cs="Arial"/>
          <w:b/>
        </w:rPr>
      </w:pPr>
      <w:r w:rsidRPr="00FE70FB">
        <w:rPr>
          <w:rFonts w:ascii="Arial" w:hAnsi="Arial" w:cs="Arial"/>
          <w:b/>
        </w:rPr>
        <w:t xml:space="preserve">Broj žiro </w:t>
      </w:r>
      <w:proofErr w:type="spellStart"/>
      <w:r w:rsidRPr="00FE70FB">
        <w:rPr>
          <w:rFonts w:ascii="Arial" w:hAnsi="Arial" w:cs="Arial"/>
          <w:b/>
        </w:rPr>
        <w:t>rn</w:t>
      </w:r>
      <w:proofErr w:type="spellEnd"/>
      <w:r w:rsidRPr="00FE70FB">
        <w:rPr>
          <w:rFonts w:ascii="Arial" w:hAnsi="Arial" w:cs="Arial"/>
          <w:b/>
        </w:rPr>
        <w:t>. 2402006-1100109207</w:t>
      </w:r>
    </w:p>
    <w:p w:rsidR="00B54859" w:rsidRPr="00FE70FB" w:rsidRDefault="00B54859" w:rsidP="00B54859">
      <w:pPr>
        <w:rPr>
          <w:rFonts w:ascii="Arial" w:hAnsi="Arial" w:cs="Arial"/>
          <w:b/>
        </w:rPr>
      </w:pPr>
      <w:r w:rsidRPr="00FE70FB">
        <w:rPr>
          <w:rFonts w:ascii="Arial" w:hAnsi="Arial" w:cs="Arial"/>
          <w:b/>
        </w:rPr>
        <w:t>Lovran,</w:t>
      </w:r>
      <w:r w:rsidR="00426C9E">
        <w:rPr>
          <w:rFonts w:ascii="Arial" w:hAnsi="Arial" w:cs="Arial"/>
          <w:b/>
        </w:rPr>
        <w:t>25</w:t>
      </w:r>
      <w:r>
        <w:rPr>
          <w:rFonts w:ascii="Arial" w:hAnsi="Arial" w:cs="Arial"/>
          <w:b/>
        </w:rPr>
        <w:t>.07.2022.</w:t>
      </w:r>
    </w:p>
    <w:p w:rsidR="005147B7" w:rsidRDefault="005147B7" w:rsidP="005D7BFC">
      <w:pPr>
        <w:jc w:val="both"/>
        <w:rPr>
          <w:rFonts w:ascii="Arial" w:eastAsia="Times New Roman" w:hAnsi="Arial" w:cs="Arial"/>
        </w:rPr>
      </w:pPr>
    </w:p>
    <w:p w:rsidR="00C7750C" w:rsidRDefault="00C7750C" w:rsidP="00C7750C">
      <w:pPr>
        <w:jc w:val="both"/>
        <w:rPr>
          <w:rFonts w:eastAsia="Times New Roman" w:cs="Calibri"/>
        </w:rPr>
      </w:pPr>
    </w:p>
    <w:p w:rsidR="004A44BB" w:rsidRDefault="004A44BB" w:rsidP="00C7750C">
      <w:pPr>
        <w:jc w:val="both"/>
        <w:rPr>
          <w:rFonts w:eastAsia="Times New Roman" w:cs="Calibri"/>
        </w:rPr>
      </w:pPr>
    </w:p>
    <w:p w:rsidR="004A44BB" w:rsidRDefault="004A44BB" w:rsidP="00C7750C">
      <w:pPr>
        <w:jc w:val="both"/>
        <w:rPr>
          <w:rFonts w:eastAsia="Times New Roman" w:cs="Calibri"/>
        </w:rPr>
      </w:pPr>
    </w:p>
    <w:p w:rsidR="00426C9E" w:rsidRDefault="00426C9E" w:rsidP="004A44BB">
      <w:pPr>
        <w:jc w:val="center"/>
        <w:rPr>
          <w:rFonts w:eastAsia="Times New Roman" w:cs="Calibri"/>
          <w:b/>
          <w:i/>
          <w:sz w:val="28"/>
          <w:szCs w:val="28"/>
        </w:rPr>
      </w:pPr>
      <w:r>
        <w:rPr>
          <w:rFonts w:eastAsia="Times New Roman" w:cs="Calibri"/>
          <w:b/>
          <w:i/>
          <w:sz w:val="28"/>
          <w:szCs w:val="28"/>
        </w:rPr>
        <w:t xml:space="preserve">Obrazloženje </w:t>
      </w:r>
      <w:r w:rsidR="004A44BB" w:rsidRPr="004A44BB">
        <w:rPr>
          <w:rFonts w:eastAsia="Times New Roman" w:cs="Calibri"/>
          <w:b/>
          <w:i/>
          <w:sz w:val="28"/>
          <w:szCs w:val="28"/>
        </w:rPr>
        <w:t>Izvještaj</w:t>
      </w:r>
      <w:r>
        <w:rPr>
          <w:rFonts w:eastAsia="Times New Roman" w:cs="Calibri"/>
          <w:b/>
          <w:i/>
          <w:sz w:val="28"/>
          <w:szCs w:val="28"/>
        </w:rPr>
        <w:t>a</w:t>
      </w:r>
      <w:r w:rsidR="004A44BB" w:rsidRPr="004A44BB">
        <w:rPr>
          <w:rFonts w:eastAsia="Times New Roman" w:cs="Calibri"/>
          <w:b/>
          <w:i/>
          <w:sz w:val="28"/>
          <w:szCs w:val="28"/>
        </w:rPr>
        <w:t xml:space="preserve"> o izvršenju financijskog plana za razdoblje</w:t>
      </w:r>
    </w:p>
    <w:p w:rsidR="004A44BB" w:rsidRPr="004A44BB" w:rsidRDefault="004A44BB" w:rsidP="004A44BB">
      <w:pPr>
        <w:jc w:val="center"/>
        <w:rPr>
          <w:rFonts w:eastAsia="Times New Roman" w:cs="Calibri"/>
          <w:b/>
          <w:i/>
          <w:sz w:val="28"/>
          <w:szCs w:val="28"/>
        </w:rPr>
      </w:pPr>
      <w:r w:rsidRPr="004A44BB">
        <w:rPr>
          <w:rFonts w:eastAsia="Times New Roman" w:cs="Calibri"/>
          <w:b/>
          <w:i/>
          <w:sz w:val="28"/>
          <w:szCs w:val="28"/>
        </w:rPr>
        <w:t xml:space="preserve"> 01.01.-30.06.2022.</w:t>
      </w:r>
    </w:p>
    <w:p w:rsidR="004A44BB" w:rsidRDefault="004A44BB" w:rsidP="00C7750C">
      <w:pPr>
        <w:jc w:val="both"/>
        <w:rPr>
          <w:rFonts w:eastAsia="Times New Roman" w:cs="Calibri"/>
        </w:rPr>
      </w:pPr>
    </w:p>
    <w:p w:rsidR="004A44BB" w:rsidRDefault="004A44BB" w:rsidP="00C7750C">
      <w:pPr>
        <w:jc w:val="both"/>
        <w:rPr>
          <w:rFonts w:eastAsia="Times New Roman" w:cs="Calibri"/>
        </w:rPr>
      </w:pPr>
    </w:p>
    <w:p w:rsidR="004A44BB" w:rsidRDefault="004A44BB" w:rsidP="00C7750C">
      <w:pPr>
        <w:jc w:val="both"/>
        <w:rPr>
          <w:rFonts w:eastAsia="Times New Roman" w:cs="Calibri"/>
        </w:rPr>
      </w:pPr>
      <w:r>
        <w:rPr>
          <w:rFonts w:eastAsia="Times New Roman" w:cs="Calibri"/>
        </w:rPr>
        <w:t>Za razdoblje od 01.01.2022. do 30.06.2022.</w:t>
      </w:r>
      <w:r w:rsidR="004B1D11">
        <w:rPr>
          <w:rFonts w:eastAsia="Times New Roman" w:cs="Calibri"/>
        </w:rPr>
        <w:t xml:space="preserve"> </w:t>
      </w:r>
      <w:r>
        <w:rPr>
          <w:rFonts w:eastAsia="Times New Roman" w:cs="Calibri"/>
        </w:rPr>
        <w:t>godine napravljen je Izvještaj o izvršenju financijskog plana. Temelj usporedbe je izvršenje realizirano u promatranom razdoblju</w:t>
      </w:r>
      <w:r w:rsidR="004B1D11">
        <w:rPr>
          <w:rFonts w:eastAsia="Times New Roman" w:cs="Calibri"/>
        </w:rPr>
        <w:t>, te</w:t>
      </w:r>
      <w:r>
        <w:rPr>
          <w:rFonts w:eastAsia="Times New Roman" w:cs="Calibri"/>
        </w:rPr>
        <w:t xml:space="preserve">  usvojeni Financijski plan za 2022. godini čiji je prijedlog</w:t>
      </w:r>
      <w:r w:rsidR="004B1D11">
        <w:rPr>
          <w:rFonts w:eastAsia="Times New Roman" w:cs="Calibri"/>
        </w:rPr>
        <w:t xml:space="preserve"> </w:t>
      </w:r>
      <w:proofErr w:type="spellStart"/>
      <w:r w:rsidR="004B1D11">
        <w:rPr>
          <w:rFonts w:eastAsia="Times New Roman" w:cs="Calibri"/>
        </w:rPr>
        <w:t>I.Izmjena</w:t>
      </w:r>
      <w:proofErr w:type="spellEnd"/>
      <w:r w:rsidR="004B1D11">
        <w:rPr>
          <w:rFonts w:eastAsia="Times New Roman" w:cs="Calibri"/>
        </w:rPr>
        <w:t xml:space="preserve"> i dopuna </w:t>
      </w:r>
      <w:r>
        <w:rPr>
          <w:rFonts w:eastAsia="Times New Roman" w:cs="Calibri"/>
        </w:rPr>
        <w:t xml:space="preserve"> usvojen na 19.sjednici Školskog odbora , a postao je </w:t>
      </w:r>
      <w:proofErr w:type="spellStart"/>
      <w:r>
        <w:rPr>
          <w:rFonts w:eastAsia="Times New Roman" w:cs="Calibri"/>
        </w:rPr>
        <w:t>punovažeći</w:t>
      </w:r>
      <w:proofErr w:type="spellEnd"/>
      <w:r>
        <w:rPr>
          <w:rFonts w:eastAsia="Times New Roman" w:cs="Calibri"/>
        </w:rPr>
        <w:t xml:space="preserve"> 09.lipnja nako</w:t>
      </w:r>
      <w:r w:rsidR="004B1D11">
        <w:rPr>
          <w:rFonts w:eastAsia="Times New Roman" w:cs="Calibri"/>
        </w:rPr>
        <w:t xml:space="preserve">n usvajanja </w:t>
      </w:r>
      <w:proofErr w:type="spellStart"/>
      <w:r w:rsidR="004B1D11">
        <w:rPr>
          <w:rFonts w:eastAsia="Times New Roman" w:cs="Calibri"/>
        </w:rPr>
        <w:t>I.Izmjene</w:t>
      </w:r>
      <w:proofErr w:type="spellEnd"/>
      <w:r w:rsidR="004B1D11">
        <w:rPr>
          <w:rFonts w:eastAsia="Times New Roman" w:cs="Calibri"/>
        </w:rPr>
        <w:t xml:space="preserve"> i dopune F</w:t>
      </w:r>
      <w:r>
        <w:rPr>
          <w:rFonts w:eastAsia="Times New Roman" w:cs="Calibri"/>
        </w:rPr>
        <w:t>inancijskog plana</w:t>
      </w:r>
      <w:r w:rsidR="004B1D11">
        <w:rPr>
          <w:rFonts w:eastAsia="Times New Roman" w:cs="Calibri"/>
        </w:rPr>
        <w:t xml:space="preserve"> Županijskog proračuna </w:t>
      </w:r>
      <w:r>
        <w:rPr>
          <w:rFonts w:eastAsia="Times New Roman" w:cs="Calibri"/>
        </w:rPr>
        <w:t xml:space="preserve"> na Županijskoj skupštini Primorsko-goranske županije (10.sjednica)</w:t>
      </w:r>
      <w:r w:rsidR="004B1D11">
        <w:rPr>
          <w:rFonts w:eastAsia="Times New Roman" w:cs="Calibri"/>
        </w:rPr>
        <w:t>.</w:t>
      </w:r>
    </w:p>
    <w:p w:rsidR="00CB0296" w:rsidRDefault="00CB0296" w:rsidP="00CB0296">
      <w:pPr>
        <w:jc w:val="both"/>
        <w:rPr>
          <w:rFonts w:eastAsia="Times New Roman" w:cs="Calibri"/>
        </w:rPr>
      </w:pPr>
    </w:p>
    <w:p w:rsidR="00CB0296" w:rsidRDefault="00CB0296" w:rsidP="00CB0296">
      <w:pPr>
        <w:jc w:val="both"/>
        <w:rPr>
          <w:rFonts w:eastAsia="Times New Roman" w:cs="Calibri"/>
        </w:rPr>
      </w:pPr>
      <w:r>
        <w:rPr>
          <w:rFonts w:eastAsia="Times New Roman" w:cs="Calibri"/>
        </w:rPr>
        <w:t>PRIHODI POSLOVANJA:</w:t>
      </w:r>
    </w:p>
    <w:p w:rsidR="00426C9E" w:rsidRDefault="00426C9E" w:rsidP="00CB0296">
      <w:pPr>
        <w:jc w:val="both"/>
        <w:rPr>
          <w:rFonts w:eastAsia="Times New Roman" w:cs="Calibri"/>
        </w:rPr>
      </w:pPr>
    </w:p>
    <w:p w:rsidR="00CB0296" w:rsidRDefault="00CB0296" w:rsidP="00426C9E">
      <w:pPr>
        <w:jc w:val="both"/>
        <w:rPr>
          <w:rFonts w:eastAsia="Times New Roman" w:cs="Calibri"/>
        </w:rPr>
      </w:pPr>
      <w:r>
        <w:rPr>
          <w:rFonts w:eastAsia="Times New Roman" w:cs="Calibri"/>
        </w:rPr>
        <w:t xml:space="preserve">Ukupni prihodi poslovanja  ostvareni u izvještajnom razdoblju iznose 5.153.213,87kn. U usporedbi sa Financijskim planom oni su u skladu sa planiranim. Gledano prema ekonomskoj klasifikaciji </w:t>
      </w:r>
      <w:r w:rsidR="00426C9E">
        <w:rPr>
          <w:rFonts w:eastAsia="Times New Roman" w:cs="Calibri"/>
        </w:rPr>
        <w:t xml:space="preserve"> i izvorima financiranja </w:t>
      </w:r>
      <w:r>
        <w:rPr>
          <w:rFonts w:eastAsia="Times New Roman" w:cs="Calibri"/>
        </w:rPr>
        <w:t xml:space="preserve">svi </w:t>
      </w:r>
      <w:r w:rsidR="00B54859">
        <w:rPr>
          <w:rFonts w:eastAsia="Times New Roman" w:cs="Calibri"/>
        </w:rPr>
        <w:t>prihodi</w:t>
      </w:r>
      <w:r>
        <w:rPr>
          <w:rFonts w:eastAsia="Times New Roman" w:cs="Calibri"/>
        </w:rPr>
        <w:t xml:space="preserve"> u skladu su sa p</w:t>
      </w:r>
      <w:r w:rsidR="00B54859">
        <w:rPr>
          <w:rFonts w:eastAsia="Times New Roman" w:cs="Calibri"/>
        </w:rPr>
        <w:t>laniranim nema probijanja plana</w:t>
      </w:r>
      <w:r w:rsidR="00426C9E">
        <w:rPr>
          <w:rFonts w:eastAsia="Times New Roman" w:cs="Calibri"/>
        </w:rPr>
        <w:t>, osim u djelu Prihoda s naslova osiguranja, refundacija štete i totalne štete gdje smo ostvarili veće prihode od planiranih jer smo imali puno više refundacija za totalnu štetu razbijenih stakala nego što smo očekivali prilikom planiranja. Indeks 227.</w:t>
      </w:r>
    </w:p>
    <w:p w:rsidR="00426C9E" w:rsidRDefault="00426C9E" w:rsidP="00426C9E">
      <w:pPr>
        <w:jc w:val="both"/>
        <w:rPr>
          <w:rFonts w:eastAsia="Times New Roman" w:cs="Calibri"/>
        </w:rPr>
      </w:pPr>
      <w:r>
        <w:rPr>
          <w:rFonts w:eastAsia="Times New Roman" w:cs="Calibri"/>
        </w:rPr>
        <w:t>Ukupni prihodi od prodaje nefinancijske imovine u skladu su sa planiranim prihodima</w:t>
      </w:r>
      <w:r w:rsidR="00970E3A">
        <w:rPr>
          <w:rFonts w:eastAsia="Times New Roman" w:cs="Calibri"/>
        </w:rPr>
        <w:t xml:space="preserve"> i u općem i u posebnom djelu Izvještaja, i prema ekonomskoj klasifikaciji i prema izvorima financiranja</w:t>
      </w:r>
      <w:r>
        <w:rPr>
          <w:rFonts w:eastAsia="Times New Roman" w:cs="Calibri"/>
        </w:rPr>
        <w:t>, a iznose 1.292,12kn.</w:t>
      </w:r>
    </w:p>
    <w:p w:rsidR="00970E3A" w:rsidRDefault="00970E3A" w:rsidP="00426C9E">
      <w:pPr>
        <w:jc w:val="both"/>
        <w:rPr>
          <w:rFonts w:eastAsia="Times New Roman" w:cs="Calibri"/>
        </w:rPr>
      </w:pPr>
    </w:p>
    <w:p w:rsidR="00970E3A" w:rsidRDefault="00970E3A" w:rsidP="00426C9E">
      <w:pPr>
        <w:jc w:val="both"/>
        <w:rPr>
          <w:rFonts w:eastAsia="Times New Roman" w:cs="Calibri"/>
        </w:rPr>
      </w:pPr>
      <w:r>
        <w:rPr>
          <w:rFonts w:eastAsia="Times New Roman" w:cs="Calibri"/>
        </w:rPr>
        <w:t>UKUPNI RASHODI POSLOVANJA:</w:t>
      </w:r>
    </w:p>
    <w:p w:rsidR="00970E3A" w:rsidRDefault="00970E3A" w:rsidP="00426C9E">
      <w:pPr>
        <w:jc w:val="both"/>
        <w:rPr>
          <w:rFonts w:eastAsia="Times New Roman" w:cs="Calibri"/>
        </w:rPr>
      </w:pPr>
    </w:p>
    <w:p w:rsidR="00970E3A" w:rsidRDefault="00970E3A" w:rsidP="00426C9E">
      <w:pPr>
        <w:jc w:val="both"/>
        <w:rPr>
          <w:rFonts w:eastAsia="Times New Roman" w:cs="Calibri"/>
        </w:rPr>
      </w:pPr>
      <w:r>
        <w:rPr>
          <w:rFonts w:eastAsia="Times New Roman" w:cs="Calibri"/>
        </w:rPr>
        <w:t>Ukupni rashodi poslovanja ostvareni u izvještajnom razdoblju iznose 5.116.026,49kn. Temeljem ekonomske klasifikacije rashodi su  u skladu sa Financijskim planom, nema probijanja plana.</w:t>
      </w:r>
    </w:p>
    <w:p w:rsidR="00970E3A" w:rsidRDefault="00970E3A" w:rsidP="00426C9E">
      <w:pPr>
        <w:jc w:val="both"/>
        <w:rPr>
          <w:rFonts w:eastAsia="Times New Roman" w:cs="Calibri"/>
        </w:rPr>
      </w:pPr>
      <w:r>
        <w:rPr>
          <w:rFonts w:eastAsia="Times New Roman" w:cs="Calibri"/>
        </w:rPr>
        <w:t>Rashodi su u posebnom djelu raspoređeni prema programima na :</w:t>
      </w:r>
    </w:p>
    <w:p w:rsidR="00970E3A" w:rsidRPr="0048339E" w:rsidRDefault="00970E3A" w:rsidP="0048339E">
      <w:pPr>
        <w:pStyle w:val="Odlomakpopisa"/>
        <w:numPr>
          <w:ilvl w:val="0"/>
          <w:numId w:val="10"/>
        </w:numPr>
        <w:jc w:val="both"/>
        <w:rPr>
          <w:rFonts w:eastAsia="Times New Roman" w:cs="Calibri"/>
        </w:rPr>
      </w:pPr>
      <w:r w:rsidRPr="0048339E">
        <w:rPr>
          <w:rFonts w:eastAsia="Times New Roman" w:cs="Calibri"/>
        </w:rPr>
        <w:t>Osiguranje uvjeta rada</w:t>
      </w:r>
    </w:p>
    <w:p w:rsidR="00970E3A" w:rsidRPr="0048339E" w:rsidRDefault="00970E3A" w:rsidP="0048339E">
      <w:pPr>
        <w:pStyle w:val="Odlomakpopisa"/>
        <w:numPr>
          <w:ilvl w:val="0"/>
          <w:numId w:val="10"/>
        </w:numPr>
        <w:jc w:val="both"/>
        <w:rPr>
          <w:rFonts w:eastAsia="Times New Roman" w:cs="Calibri"/>
        </w:rPr>
      </w:pPr>
      <w:r w:rsidRPr="0048339E">
        <w:rPr>
          <w:rFonts w:eastAsia="Times New Roman" w:cs="Calibri"/>
        </w:rPr>
        <w:t>Investicijsko održavanje objekta i opreme</w:t>
      </w:r>
    </w:p>
    <w:p w:rsidR="00970E3A" w:rsidRPr="0048339E" w:rsidRDefault="00970E3A" w:rsidP="0048339E">
      <w:pPr>
        <w:pStyle w:val="Odlomakpopisa"/>
        <w:numPr>
          <w:ilvl w:val="0"/>
          <w:numId w:val="10"/>
        </w:numPr>
        <w:jc w:val="both"/>
        <w:rPr>
          <w:rFonts w:eastAsia="Times New Roman" w:cs="Calibri"/>
        </w:rPr>
      </w:pPr>
      <w:r w:rsidRPr="0048339E">
        <w:rPr>
          <w:rFonts w:eastAsia="Times New Roman" w:cs="Calibri"/>
        </w:rPr>
        <w:t>Opremanje ustanova školstva</w:t>
      </w:r>
    </w:p>
    <w:p w:rsidR="00970E3A" w:rsidRPr="0048339E" w:rsidRDefault="0048339E" w:rsidP="0048339E">
      <w:pPr>
        <w:pStyle w:val="Odlomakpopisa"/>
        <w:numPr>
          <w:ilvl w:val="0"/>
          <w:numId w:val="10"/>
        </w:numPr>
        <w:jc w:val="both"/>
        <w:rPr>
          <w:rFonts w:eastAsia="Times New Roman" w:cs="Calibri"/>
        </w:rPr>
      </w:pPr>
      <w:r w:rsidRPr="0048339E">
        <w:rPr>
          <w:rFonts w:eastAsia="Times New Roman" w:cs="Calibri"/>
        </w:rPr>
        <w:t>Nabava udžbenika za učenike OŠ</w:t>
      </w:r>
    </w:p>
    <w:p w:rsidR="0048339E" w:rsidRPr="0048339E" w:rsidRDefault="0048339E" w:rsidP="0048339E">
      <w:pPr>
        <w:pStyle w:val="Odlomakpopisa"/>
        <w:numPr>
          <w:ilvl w:val="0"/>
          <w:numId w:val="10"/>
        </w:numPr>
        <w:jc w:val="both"/>
        <w:rPr>
          <w:rFonts w:eastAsia="Times New Roman" w:cs="Calibri"/>
        </w:rPr>
      </w:pPr>
      <w:r w:rsidRPr="0048339E">
        <w:rPr>
          <w:rFonts w:eastAsia="Times New Roman" w:cs="Calibri"/>
        </w:rPr>
        <w:t>Produženi boravak</w:t>
      </w:r>
    </w:p>
    <w:p w:rsidR="0048339E" w:rsidRPr="0048339E" w:rsidRDefault="0048339E" w:rsidP="0048339E">
      <w:pPr>
        <w:pStyle w:val="Odlomakpopisa"/>
        <w:numPr>
          <w:ilvl w:val="0"/>
          <w:numId w:val="10"/>
        </w:numPr>
        <w:jc w:val="both"/>
        <w:rPr>
          <w:rFonts w:eastAsia="Times New Roman" w:cs="Calibri"/>
        </w:rPr>
      </w:pPr>
      <w:r w:rsidRPr="0048339E">
        <w:rPr>
          <w:rFonts w:eastAsia="Times New Roman" w:cs="Calibri"/>
        </w:rPr>
        <w:t>Sufinanciranje rada pomoćnika u nastavi</w:t>
      </w:r>
    </w:p>
    <w:p w:rsidR="0048339E" w:rsidRPr="0048339E" w:rsidRDefault="0048339E" w:rsidP="0048339E">
      <w:pPr>
        <w:pStyle w:val="Odlomakpopisa"/>
        <w:numPr>
          <w:ilvl w:val="0"/>
          <w:numId w:val="10"/>
        </w:numPr>
        <w:jc w:val="both"/>
        <w:rPr>
          <w:rFonts w:eastAsia="Times New Roman" w:cs="Calibri"/>
        </w:rPr>
      </w:pPr>
      <w:r w:rsidRPr="0048339E">
        <w:rPr>
          <w:rFonts w:eastAsia="Times New Roman" w:cs="Calibri"/>
        </w:rPr>
        <w:t>Program školskog kurikuluma</w:t>
      </w:r>
    </w:p>
    <w:p w:rsidR="0048339E" w:rsidRPr="0048339E" w:rsidRDefault="0048339E" w:rsidP="0048339E">
      <w:pPr>
        <w:pStyle w:val="Odlomakpopisa"/>
        <w:numPr>
          <w:ilvl w:val="0"/>
          <w:numId w:val="10"/>
        </w:numPr>
        <w:jc w:val="both"/>
        <w:rPr>
          <w:rFonts w:eastAsia="Times New Roman" w:cs="Calibri"/>
        </w:rPr>
      </w:pPr>
      <w:r w:rsidRPr="0048339E">
        <w:rPr>
          <w:rFonts w:eastAsia="Times New Roman" w:cs="Calibri"/>
        </w:rPr>
        <w:t>Natjecanja i smotre</w:t>
      </w:r>
    </w:p>
    <w:p w:rsidR="008A7BC0" w:rsidRDefault="008A7BC0" w:rsidP="00426C9E">
      <w:pPr>
        <w:jc w:val="both"/>
        <w:rPr>
          <w:rFonts w:eastAsia="Times New Roman" w:cs="Calibri"/>
        </w:rPr>
      </w:pPr>
    </w:p>
    <w:p w:rsidR="0048339E" w:rsidRDefault="0048339E" w:rsidP="00426C9E">
      <w:pPr>
        <w:jc w:val="both"/>
        <w:rPr>
          <w:rFonts w:eastAsia="Times New Roman" w:cs="Calibri"/>
        </w:rPr>
      </w:pPr>
      <w:r>
        <w:rPr>
          <w:rFonts w:eastAsia="Times New Roman" w:cs="Calibri"/>
        </w:rPr>
        <w:t>Unutar programa rashodi su  razdijeljeni prema  izvorima financiranja i ekonomskoj klasifikacijom.</w:t>
      </w:r>
    </w:p>
    <w:p w:rsidR="0048339E" w:rsidRDefault="0048339E" w:rsidP="00426C9E">
      <w:pPr>
        <w:jc w:val="both"/>
        <w:rPr>
          <w:rFonts w:eastAsia="Times New Roman" w:cs="Calibri"/>
        </w:rPr>
      </w:pPr>
    </w:p>
    <w:p w:rsidR="0048339E" w:rsidRDefault="0048339E" w:rsidP="00426C9E">
      <w:pPr>
        <w:jc w:val="both"/>
        <w:rPr>
          <w:rFonts w:eastAsia="Times New Roman" w:cs="Calibri"/>
        </w:rPr>
      </w:pPr>
    </w:p>
    <w:p w:rsidR="0048339E" w:rsidRDefault="0048339E" w:rsidP="00426C9E">
      <w:pPr>
        <w:jc w:val="both"/>
        <w:rPr>
          <w:rFonts w:eastAsia="Times New Roman" w:cs="Calibri"/>
        </w:rPr>
      </w:pPr>
      <w:r>
        <w:rPr>
          <w:rFonts w:eastAsia="Times New Roman" w:cs="Calibri"/>
        </w:rPr>
        <w:t>Svi programi realizirani su u skladu sa planira</w:t>
      </w:r>
      <w:r w:rsidR="00361F42">
        <w:rPr>
          <w:rFonts w:eastAsia="Times New Roman" w:cs="Calibri"/>
        </w:rPr>
        <w:t>n</w:t>
      </w:r>
      <w:r>
        <w:rPr>
          <w:rFonts w:eastAsia="Times New Roman" w:cs="Calibri"/>
        </w:rPr>
        <w:t>i ,što znači da je realizacija svih programa tekla u skladu sa planom i prihoda i rashoda osim u djelu programa Osiguranje uvjeta rada , izvor Prihodi od prodaje ili zamjene nefinancijske imovine i naknade šteta s naslova osiguranja gdje su nastali veći rashodi od planiranih i to za indeks 227, zbog toga što je nastao rashod za razbijena</w:t>
      </w:r>
      <w:r w:rsidR="002F589D">
        <w:rPr>
          <w:rFonts w:eastAsia="Times New Roman" w:cs="Calibri"/>
        </w:rPr>
        <w:t xml:space="preserve"> stakla kojeg nismo planirali u mjeru u kojoj je on realiziran.</w:t>
      </w:r>
    </w:p>
    <w:p w:rsidR="002F589D" w:rsidRDefault="002F589D" w:rsidP="00426C9E">
      <w:pPr>
        <w:jc w:val="both"/>
        <w:rPr>
          <w:rFonts w:eastAsia="Times New Roman" w:cs="Calibri"/>
        </w:rPr>
      </w:pPr>
      <w:r>
        <w:rPr>
          <w:rFonts w:eastAsia="Times New Roman" w:cs="Calibri"/>
        </w:rPr>
        <w:t>U programu Natjecanje i smotre , izvor financiranja Pomoći došlo je do odstupanja rashoda za rashode Naknada članovima povjerenstva za natjecanje koje se realiziralo. Do sadašnjih godina te rashode je u cijelosti podmirivao Osnivač, no u ovoj godini nije nam priznat rashod za jednog člana povjerenstva te smo ga financirali iz izvora Pomoći , a nije bio u planu. U 2021.godini nije bilo natjecanja zbog pojave COVID-19 virusa, no u  2022. godini došlo je do ukidanja mjera zabrane okupljanja pa su se natjecanja održala što je dovelo do prekoračenja ostalih rashoda poslovanja  u ovom programu jer nije planirano da će rashodi za njih biti u iznosu u kojem jesu zbog nekadašnjih mjera .</w:t>
      </w:r>
    </w:p>
    <w:p w:rsidR="002F589D" w:rsidRDefault="002F589D" w:rsidP="00426C9E">
      <w:pPr>
        <w:jc w:val="both"/>
        <w:rPr>
          <w:rFonts w:eastAsia="Times New Roman" w:cs="Calibri"/>
        </w:rPr>
      </w:pPr>
    </w:p>
    <w:p w:rsidR="002F589D" w:rsidRDefault="002F589D" w:rsidP="00426C9E">
      <w:pPr>
        <w:jc w:val="both"/>
        <w:rPr>
          <w:rFonts w:eastAsia="Times New Roman" w:cs="Calibri"/>
        </w:rPr>
      </w:pPr>
      <w:r>
        <w:rPr>
          <w:rFonts w:eastAsia="Times New Roman" w:cs="Calibri"/>
        </w:rPr>
        <w:t xml:space="preserve">Ukupni rashodi za </w:t>
      </w:r>
      <w:r w:rsidR="00836DA9">
        <w:rPr>
          <w:rFonts w:eastAsia="Times New Roman" w:cs="Calibri"/>
        </w:rPr>
        <w:t>nabavu nefinancijske imovine izvršeni su u skladu sa Financijskim planom. Nema probijanja Financijskog plana. Rashodi su prikazani prema ekonomskoj klasifikaciji, izvorima planiranja, te u programu Opremanja ustanova školstva. Rashodi iznose 112.750,00kn.</w:t>
      </w:r>
      <w:r>
        <w:rPr>
          <w:rFonts w:eastAsia="Times New Roman" w:cs="Calibri"/>
        </w:rPr>
        <w:t xml:space="preserve">  </w:t>
      </w:r>
    </w:p>
    <w:p w:rsidR="0048339E" w:rsidRDefault="0048339E" w:rsidP="00426C9E">
      <w:pPr>
        <w:jc w:val="both"/>
        <w:rPr>
          <w:rFonts w:eastAsia="Times New Roman" w:cs="Calibri"/>
        </w:rPr>
      </w:pPr>
    </w:p>
    <w:p w:rsidR="00426C9E" w:rsidRDefault="0048339E" w:rsidP="00426C9E">
      <w:pPr>
        <w:jc w:val="both"/>
        <w:rPr>
          <w:rFonts w:eastAsia="Times New Roman" w:cs="Calibri"/>
        </w:rPr>
      </w:pPr>
      <w:r>
        <w:rPr>
          <w:rFonts w:eastAsia="Times New Roman" w:cs="Calibri"/>
        </w:rPr>
        <w:t xml:space="preserve"> </w:t>
      </w:r>
    </w:p>
    <w:p w:rsidR="009D6C93" w:rsidRDefault="009D6C93" w:rsidP="00426C9E">
      <w:pPr>
        <w:jc w:val="both"/>
        <w:rPr>
          <w:rFonts w:eastAsia="Times New Roman" w:cs="Calibri"/>
        </w:rPr>
      </w:pPr>
      <w:r>
        <w:rPr>
          <w:rFonts w:eastAsia="Times New Roman" w:cs="Calibri"/>
        </w:rPr>
        <w:t>OBRAZLOŽENJE PRIJENOSA PRENESENOG MANJKA ODNOSNO VIŠKA:</w:t>
      </w:r>
    </w:p>
    <w:p w:rsidR="00361F42" w:rsidRDefault="00361F42" w:rsidP="00361F42">
      <w:pPr>
        <w:jc w:val="both"/>
        <w:rPr>
          <w:rFonts w:ascii="Arial" w:eastAsia="Times New Roman" w:hAnsi="Arial" w:cs="Arial"/>
        </w:rPr>
      </w:pPr>
    </w:p>
    <w:p w:rsidR="00361F42" w:rsidRPr="00361F42" w:rsidRDefault="00361F42" w:rsidP="00361F42">
      <w:pPr>
        <w:jc w:val="both"/>
        <w:rPr>
          <w:rFonts w:asciiTheme="minorHAnsi" w:eastAsia="Times New Roman" w:hAnsiTheme="minorHAnsi" w:cstheme="minorHAnsi"/>
        </w:rPr>
      </w:pPr>
      <w:r w:rsidRPr="00361F42">
        <w:rPr>
          <w:rFonts w:asciiTheme="minorHAnsi" w:eastAsia="Times New Roman" w:hAnsiTheme="minorHAnsi" w:cstheme="minorHAnsi"/>
        </w:rPr>
        <w:t>Višak prihoda poslovanja iz 2021. godine koji je sastavni dio i Financijskog plana i Izvršenja za promatrano razdoblje sastoji se od :</w:t>
      </w:r>
    </w:p>
    <w:p w:rsidR="00361F42" w:rsidRPr="00361F42" w:rsidRDefault="00361F42" w:rsidP="005F66F4">
      <w:pPr>
        <w:pStyle w:val="Odlomakpopisa"/>
        <w:numPr>
          <w:ilvl w:val="0"/>
          <w:numId w:val="12"/>
        </w:numPr>
        <w:jc w:val="both"/>
        <w:rPr>
          <w:rFonts w:asciiTheme="minorHAnsi" w:eastAsia="Times New Roman" w:hAnsiTheme="minorHAnsi" w:cstheme="minorHAnsi"/>
        </w:rPr>
      </w:pPr>
      <w:r w:rsidRPr="00361F42">
        <w:rPr>
          <w:rFonts w:asciiTheme="minorHAnsi" w:eastAsia="Times New Roman" w:hAnsiTheme="minorHAnsi" w:cstheme="minorHAnsi"/>
        </w:rPr>
        <w:t xml:space="preserve">Višak vlastitih prihoda u iznosu od 7.707,06kn (najam školskog prostora) </w:t>
      </w:r>
    </w:p>
    <w:p w:rsidR="00361F42" w:rsidRPr="00361F42" w:rsidRDefault="00361F42" w:rsidP="00202965">
      <w:pPr>
        <w:pStyle w:val="Odlomakpopisa"/>
        <w:numPr>
          <w:ilvl w:val="0"/>
          <w:numId w:val="12"/>
        </w:numPr>
        <w:jc w:val="both"/>
        <w:rPr>
          <w:rFonts w:asciiTheme="minorHAnsi" w:eastAsia="Times New Roman" w:hAnsiTheme="minorHAnsi" w:cstheme="minorHAnsi"/>
        </w:rPr>
      </w:pPr>
      <w:r w:rsidRPr="00361F42">
        <w:rPr>
          <w:rFonts w:asciiTheme="minorHAnsi" w:eastAsia="Times New Roman" w:hAnsiTheme="minorHAnsi" w:cstheme="minorHAnsi"/>
        </w:rPr>
        <w:t>Manjak prihoda za posebne namjene od sufinanciranja roditelja za školsku kuhinju u iznosu od 24.302,69kn namirit će se iz naplate potraživanja u iznosu od 15.477,74kn, a iznos od 8.824,95kn namirit će se iz prihoda budućeg razdoblja.</w:t>
      </w:r>
    </w:p>
    <w:p w:rsidR="00361F42" w:rsidRPr="00361F42" w:rsidRDefault="00361F42" w:rsidP="00D35CB8">
      <w:pPr>
        <w:pStyle w:val="Odlomakpopisa"/>
        <w:numPr>
          <w:ilvl w:val="0"/>
          <w:numId w:val="12"/>
        </w:numPr>
        <w:jc w:val="both"/>
        <w:rPr>
          <w:rFonts w:asciiTheme="minorHAnsi" w:eastAsia="Times New Roman" w:hAnsiTheme="minorHAnsi" w:cstheme="minorHAnsi"/>
        </w:rPr>
      </w:pPr>
      <w:r w:rsidRPr="00361F42">
        <w:rPr>
          <w:rFonts w:asciiTheme="minorHAnsi" w:eastAsia="Times New Roman" w:hAnsiTheme="minorHAnsi" w:cstheme="minorHAnsi"/>
        </w:rPr>
        <w:t xml:space="preserve">Višak prihoda za posebne namjene od sufinanciranja usluge produženog boravka u iznosu od 27.062,19kn </w:t>
      </w:r>
    </w:p>
    <w:p w:rsidR="00361F42" w:rsidRPr="00361F42" w:rsidRDefault="00361F42" w:rsidP="0037300C">
      <w:pPr>
        <w:pStyle w:val="Odlomakpopisa"/>
        <w:numPr>
          <w:ilvl w:val="0"/>
          <w:numId w:val="12"/>
        </w:numPr>
        <w:jc w:val="both"/>
        <w:rPr>
          <w:rFonts w:asciiTheme="minorHAnsi" w:eastAsia="Times New Roman" w:hAnsiTheme="minorHAnsi" w:cstheme="minorHAnsi"/>
        </w:rPr>
      </w:pPr>
      <w:r w:rsidRPr="00361F42">
        <w:rPr>
          <w:rFonts w:asciiTheme="minorHAnsi" w:eastAsia="Times New Roman" w:hAnsiTheme="minorHAnsi" w:cstheme="minorHAnsi"/>
        </w:rPr>
        <w:t xml:space="preserve">Višak prihoda iz izvora pomoći od Agencije za rad ŽSV u iznosu od 2.224,15kn </w:t>
      </w:r>
    </w:p>
    <w:p w:rsidR="00361F42" w:rsidRPr="00361F42" w:rsidRDefault="00361F42" w:rsidP="00AF66A3">
      <w:pPr>
        <w:pStyle w:val="Odlomakpopisa"/>
        <w:numPr>
          <w:ilvl w:val="0"/>
          <w:numId w:val="12"/>
        </w:numPr>
        <w:jc w:val="both"/>
        <w:rPr>
          <w:rFonts w:asciiTheme="minorHAnsi" w:eastAsia="Times New Roman" w:hAnsiTheme="minorHAnsi" w:cstheme="minorHAnsi"/>
        </w:rPr>
      </w:pPr>
      <w:r w:rsidRPr="00361F42">
        <w:rPr>
          <w:rFonts w:asciiTheme="minorHAnsi" w:eastAsia="Times New Roman" w:hAnsiTheme="minorHAnsi" w:cstheme="minorHAnsi"/>
        </w:rPr>
        <w:t>Višak prihoda iz izvora pomoći od MZO za Projekt izvannastavnih aktivnosti 14.330,00kn</w:t>
      </w:r>
    </w:p>
    <w:p w:rsidR="00361F42" w:rsidRPr="00361F42" w:rsidRDefault="00361F42" w:rsidP="007E4CB4">
      <w:pPr>
        <w:pStyle w:val="Odlomakpopisa"/>
        <w:numPr>
          <w:ilvl w:val="0"/>
          <w:numId w:val="12"/>
        </w:numPr>
        <w:jc w:val="both"/>
        <w:rPr>
          <w:rFonts w:asciiTheme="minorHAnsi" w:eastAsia="Times New Roman" w:hAnsiTheme="minorHAnsi" w:cstheme="minorHAnsi"/>
        </w:rPr>
      </w:pPr>
      <w:r w:rsidRPr="00361F42">
        <w:rPr>
          <w:rFonts w:asciiTheme="minorHAnsi" w:eastAsia="Times New Roman" w:hAnsiTheme="minorHAnsi" w:cstheme="minorHAnsi"/>
        </w:rPr>
        <w:t xml:space="preserve">Višak prihoda iz izvora pomoći od MZO za COVID testiranja 2.715,00kn </w:t>
      </w:r>
    </w:p>
    <w:p w:rsidR="00361F42" w:rsidRPr="00361F42" w:rsidRDefault="00361F42" w:rsidP="00A63452">
      <w:pPr>
        <w:pStyle w:val="Odlomakpopisa"/>
        <w:numPr>
          <w:ilvl w:val="0"/>
          <w:numId w:val="12"/>
        </w:numPr>
        <w:jc w:val="both"/>
        <w:rPr>
          <w:rFonts w:asciiTheme="minorHAnsi" w:eastAsia="Times New Roman" w:hAnsiTheme="minorHAnsi" w:cstheme="minorHAnsi"/>
        </w:rPr>
      </w:pPr>
      <w:r w:rsidRPr="00361F42">
        <w:rPr>
          <w:rFonts w:asciiTheme="minorHAnsi" w:eastAsia="Times New Roman" w:hAnsiTheme="minorHAnsi" w:cstheme="minorHAnsi"/>
        </w:rPr>
        <w:t>Manjak prihoda iz izvora pomoći od MZO za Sudske pristojbe pravomoćnih presuda 3.750,00kn sufinancirat će se prihodom kojeg očekujemo u 2022.godini</w:t>
      </w:r>
      <w:r w:rsidR="008A7BC0">
        <w:rPr>
          <w:rFonts w:asciiTheme="minorHAnsi" w:eastAsia="Times New Roman" w:hAnsiTheme="minorHAnsi" w:cstheme="minorHAnsi"/>
        </w:rPr>
        <w:t>.</w:t>
      </w:r>
    </w:p>
    <w:p w:rsidR="00361F42" w:rsidRPr="00361F42" w:rsidRDefault="00361F42" w:rsidP="0053315D">
      <w:pPr>
        <w:pStyle w:val="Odlomakpopisa"/>
        <w:numPr>
          <w:ilvl w:val="0"/>
          <w:numId w:val="12"/>
        </w:numPr>
        <w:jc w:val="both"/>
        <w:rPr>
          <w:rFonts w:asciiTheme="minorHAnsi" w:eastAsia="Times New Roman" w:hAnsiTheme="minorHAnsi" w:cstheme="minorHAnsi"/>
        </w:rPr>
      </w:pPr>
      <w:r w:rsidRPr="00361F42">
        <w:rPr>
          <w:rFonts w:asciiTheme="minorHAnsi" w:eastAsia="Times New Roman" w:hAnsiTheme="minorHAnsi" w:cstheme="minorHAnsi"/>
        </w:rPr>
        <w:t xml:space="preserve">Višak prihoda od prodaje ili zamjene nefinancijske imovine (prodaja stanova) u iznosu od  2.686,03kn </w:t>
      </w:r>
    </w:p>
    <w:p w:rsidR="00361F42" w:rsidRPr="00361F42" w:rsidRDefault="00361F42" w:rsidP="007A3547">
      <w:pPr>
        <w:pStyle w:val="Odlomakpopisa"/>
        <w:numPr>
          <w:ilvl w:val="0"/>
          <w:numId w:val="12"/>
        </w:numPr>
        <w:jc w:val="both"/>
        <w:rPr>
          <w:rFonts w:asciiTheme="minorHAnsi" w:eastAsia="Times New Roman" w:hAnsiTheme="minorHAnsi" w:cstheme="minorHAnsi"/>
        </w:rPr>
      </w:pPr>
      <w:r w:rsidRPr="00361F42">
        <w:rPr>
          <w:rFonts w:asciiTheme="minorHAnsi" w:eastAsia="Times New Roman" w:hAnsiTheme="minorHAnsi" w:cstheme="minorHAnsi"/>
        </w:rPr>
        <w:t xml:space="preserve">Višak prihoda od prodaje ili zamjene nefinancijske imovine (prodaja poslovnog prostora) u iznosu od 87,86kn </w:t>
      </w:r>
    </w:p>
    <w:p w:rsidR="00361F42" w:rsidRDefault="00361F42" w:rsidP="008743FD">
      <w:pPr>
        <w:pStyle w:val="Odlomakpopisa"/>
        <w:numPr>
          <w:ilvl w:val="0"/>
          <w:numId w:val="12"/>
        </w:numPr>
        <w:jc w:val="both"/>
        <w:rPr>
          <w:rFonts w:asciiTheme="minorHAnsi" w:eastAsia="Times New Roman" w:hAnsiTheme="minorHAnsi" w:cstheme="minorHAnsi"/>
        </w:rPr>
      </w:pPr>
      <w:r w:rsidRPr="00361F42">
        <w:rPr>
          <w:rFonts w:asciiTheme="minorHAnsi" w:eastAsia="Times New Roman" w:hAnsiTheme="minorHAnsi" w:cstheme="minorHAnsi"/>
        </w:rPr>
        <w:t xml:space="preserve">Višak prihoda od prodaje ili zamjene nefinancijske imovine (prodaja zemljišta) u iznosu od 131.000,00kn </w:t>
      </w:r>
    </w:p>
    <w:p w:rsidR="00546958" w:rsidRDefault="00546958" w:rsidP="00546958">
      <w:pPr>
        <w:jc w:val="both"/>
        <w:rPr>
          <w:rFonts w:asciiTheme="minorHAnsi" w:eastAsia="Times New Roman" w:hAnsiTheme="minorHAnsi" w:cstheme="minorHAnsi"/>
        </w:rPr>
      </w:pPr>
      <w:r>
        <w:rPr>
          <w:rFonts w:asciiTheme="minorHAnsi" w:eastAsia="Times New Roman" w:hAnsiTheme="minorHAnsi" w:cstheme="minorHAnsi"/>
        </w:rPr>
        <w:t>Iz navedenog vidimo da rashodi poslovanja u ukupnosti prema izvorima financiranja ostvaruju višak prihoda poslovanja, ali gledano prema programima neki programi nalaze se u manjku i njihovo pokriće očekuje se u 2022.godini. kako bi se precizno definirali stvarni rezul</w:t>
      </w:r>
      <w:r w:rsidR="008A7BC0">
        <w:rPr>
          <w:rFonts w:asciiTheme="minorHAnsi" w:eastAsia="Times New Roman" w:hAnsiTheme="minorHAnsi" w:cstheme="minorHAnsi"/>
        </w:rPr>
        <w:t>ta</w:t>
      </w:r>
      <w:r>
        <w:rPr>
          <w:rFonts w:asciiTheme="minorHAnsi" w:eastAsia="Times New Roman" w:hAnsiTheme="minorHAnsi" w:cstheme="minorHAnsi"/>
        </w:rPr>
        <w:t>ti po izvorima i programima u Izvještaju je prikazan i višak prihoda poslovanja i manjak prihoda poslovanja po pojedinim programima.</w:t>
      </w:r>
    </w:p>
    <w:p w:rsidR="00546958" w:rsidRDefault="00546958" w:rsidP="00546958">
      <w:pPr>
        <w:jc w:val="both"/>
        <w:rPr>
          <w:rFonts w:asciiTheme="minorHAnsi" w:eastAsia="Times New Roman" w:hAnsiTheme="minorHAnsi" w:cstheme="minorHAnsi"/>
        </w:rPr>
      </w:pPr>
    </w:p>
    <w:p w:rsidR="00546958" w:rsidRPr="00546958" w:rsidRDefault="00546958" w:rsidP="00546958">
      <w:pPr>
        <w:jc w:val="both"/>
        <w:rPr>
          <w:rFonts w:asciiTheme="minorHAnsi" w:eastAsia="Times New Roman" w:hAnsiTheme="minorHAnsi" w:cstheme="minorHAnsi"/>
        </w:rPr>
      </w:pPr>
    </w:p>
    <w:p w:rsidR="009D6C93" w:rsidRDefault="009D6C93" w:rsidP="00426C9E">
      <w:pPr>
        <w:jc w:val="both"/>
        <w:rPr>
          <w:rFonts w:eastAsia="Times New Roman" w:cs="Calibri"/>
        </w:rPr>
      </w:pPr>
    </w:p>
    <w:p w:rsidR="00836DA9" w:rsidRDefault="009D6C93" w:rsidP="00426C9E">
      <w:pPr>
        <w:jc w:val="both"/>
        <w:rPr>
          <w:rFonts w:eastAsia="Times New Roman" w:cs="Calibri"/>
        </w:rPr>
      </w:pPr>
      <w:r>
        <w:rPr>
          <w:rFonts w:eastAsia="Times New Roman" w:cs="Calibri"/>
        </w:rPr>
        <w:t>REZULTAT POSLOVANJA REALIZIRAN U IZVRŠENJ</w:t>
      </w:r>
      <w:r w:rsidR="008A7BC0">
        <w:rPr>
          <w:rFonts w:eastAsia="Times New Roman" w:cs="Calibri"/>
        </w:rPr>
        <w:t>U</w:t>
      </w:r>
      <w:r w:rsidR="00836DA9">
        <w:rPr>
          <w:rFonts w:eastAsia="Times New Roman" w:cs="Calibri"/>
        </w:rPr>
        <w:t>:</w:t>
      </w:r>
    </w:p>
    <w:p w:rsidR="00836DA9" w:rsidRDefault="00836DA9" w:rsidP="00426C9E">
      <w:pPr>
        <w:jc w:val="both"/>
        <w:rPr>
          <w:rFonts w:eastAsia="Times New Roman" w:cs="Calibri"/>
        </w:rPr>
      </w:pPr>
    </w:p>
    <w:p w:rsidR="009D6C93" w:rsidRPr="009D6C93" w:rsidRDefault="00836DA9" w:rsidP="009D6C93">
      <w:pPr>
        <w:jc w:val="both"/>
        <w:rPr>
          <w:rFonts w:asciiTheme="minorHAnsi" w:hAnsiTheme="minorHAnsi" w:cstheme="minorHAnsi"/>
        </w:rPr>
      </w:pPr>
      <w:r w:rsidRPr="009D6C93">
        <w:rPr>
          <w:rFonts w:asciiTheme="minorHAnsi" w:eastAsia="Times New Roman" w:hAnsiTheme="minorHAnsi" w:cstheme="minorHAnsi"/>
        </w:rPr>
        <w:t>Prema izvorima financiranja, na kraju posebnog djela Izvještaja</w:t>
      </w:r>
      <w:r w:rsidR="009D6C93" w:rsidRPr="009D6C93">
        <w:rPr>
          <w:rFonts w:asciiTheme="minorHAnsi" w:eastAsia="Times New Roman" w:hAnsiTheme="minorHAnsi" w:cstheme="minorHAnsi"/>
        </w:rPr>
        <w:t>,</w:t>
      </w:r>
      <w:r w:rsidRPr="009D6C93">
        <w:rPr>
          <w:rFonts w:asciiTheme="minorHAnsi" w:eastAsia="Times New Roman" w:hAnsiTheme="minorHAnsi" w:cstheme="minorHAnsi"/>
        </w:rPr>
        <w:t xml:space="preserve"> nalazi se i konstrukcija rezultata poslovanja.</w:t>
      </w:r>
      <w:r w:rsidR="009D6C93" w:rsidRPr="009D6C93">
        <w:rPr>
          <w:rFonts w:asciiTheme="minorHAnsi" w:hAnsiTheme="minorHAnsi" w:cstheme="minorHAnsi"/>
        </w:rPr>
        <w:t xml:space="preserve"> Rezultat poslovanja na kraju izvještajnog razdoblja iznosi višak prihoda i primitaka  za pokriće u slijedećem razdoblju u iznosu od 85.489,10 kn. Višak prihoda nastao je po slijedećim izvorima financiranja:</w:t>
      </w:r>
    </w:p>
    <w:p w:rsidR="009D6C93" w:rsidRPr="009D6C93" w:rsidRDefault="009D6C93" w:rsidP="009D6C93">
      <w:pPr>
        <w:numPr>
          <w:ilvl w:val="1"/>
          <w:numId w:val="11"/>
        </w:numPr>
        <w:jc w:val="both"/>
        <w:rPr>
          <w:rFonts w:asciiTheme="minorHAnsi" w:hAnsiTheme="minorHAnsi" w:cstheme="minorHAnsi"/>
        </w:rPr>
      </w:pPr>
      <w:r w:rsidRPr="009D6C93">
        <w:rPr>
          <w:rFonts w:asciiTheme="minorHAnsi" w:hAnsiTheme="minorHAnsi" w:cstheme="minorHAnsi"/>
        </w:rPr>
        <w:t xml:space="preserve">manjak prihoda od strane Županije u iznosu od 31.025,38kn i to za financiranje decentraliziranih sredstava  čiji su rashodi nastali i odnose se na izvještajno razdoblje, a prihodi će biti </w:t>
      </w:r>
      <w:proofErr w:type="spellStart"/>
      <w:r w:rsidRPr="009D6C93">
        <w:rPr>
          <w:rFonts w:asciiTheme="minorHAnsi" w:hAnsiTheme="minorHAnsi" w:cstheme="minorHAnsi"/>
        </w:rPr>
        <w:t>uprihodovani</w:t>
      </w:r>
      <w:proofErr w:type="spellEnd"/>
      <w:r w:rsidRPr="009D6C93">
        <w:rPr>
          <w:rFonts w:asciiTheme="minorHAnsi" w:hAnsiTheme="minorHAnsi" w:cstheme="minorHAnsi"/>
        </w:rPr>
        <w:t xml:space="preserve"> u narednom izvještajnom razdoblju.</w:t>
      </w:r>
    </w:p>
    <w:p w:rsidR="009D6C93" w:rsidRPr="009D6C93" w:rsidRDefault="009D6C93" w:rsidP="009D6C93">
      <w:pPr>
        <w:numPr>
          <w:ilvl w:val="1"/>
          <w:numId w:val="11"/>
        </w:numPr>
        <w:jc w:val="both"/>
        <w:rPr>
          <w:rFonts w:asciiTheme="minorHAnsi" w:hAnsiTheme="minorHAnsi" w:cstheme="minorHAnsi"/>
        </w:rPr>
      </w:pPr>
      <w:r w:rsidRPr="009D6C93">
        <w:rPr>
          <w:rFonts w:asciiTheme="minorHAnsi" w:hAnsiTheme="minorHAnsi" w:cstheme="minorHAnsi"/>
        </w:rPr>
        <w:t>Višak prihoda vlastitih sredstava od najma školskog prostora u iznosu od 12.837,16kn, a sastoji se od viška prihoda preneseni iz 2021. godine u iznosu od 7.707,06kn, te viška prihoda ostvareni u izvještajnom razdoblju u iznosu od 5.130,10kn.</w:t>
      </w:r>
    </w:p>
    <w:p w:rsidR="009D6C93" w:rsidRPr="009D6C93" w:rsidRDefault="009D6C93" w:rsidP="009D6C93">
      <w:pPr>
        <w:numPr>
          <w:ilvl w:val="1"/>
          <w:numId w:val="11"/>
        </w:numPr>
        <w:jc w:val="both"/>
        <w:rPr>
          <w:rFonts w:asciiTheme="minorHAnsi" w:hAnsiTheme="minorHAnsi" w:cstheme="minorHAnsi"/>
        </w:rPr>
      </w:pPr>
      <w:r w:rsidRPr="009D6C93">
        <w:rPr>
          <w:rFonts w:asciiTheme="minorHAnsi" w:hAnsiTheme="minorHAnsi" w:cstheme="minorHAnsi"/>
        </w:rPr>
        <w:t>Višak prihoda od strane prihoda za posebne namjene u iznosu od 63.243,89kn koji se sastoji od: manjak prihoda poslovanja od strane prihoda za posebne namjene koji se odnosi na pružanje usluge izrade mliječnog obroka u iznosu od 18.085,02kn koji je nastao stvaranjem rashoda koji će se namiriti naplatom prihoda koji se očekuje poslije izvještajnog razdoblja zbog dospijeća računa nakon izvještajnog razdoblja, te višak prihoda za rad produženog boravka u iznosu od 81.328,91kn kojim će se podmiriti rashodi za zaposlene u narednom razdoblju kad Škola u ljetnim mjesecima ne ostvaruje prihode po ovoj osnovi.</w:t>
      </w:r>
    </w:p>
    <w:p w:rsidR="009D6C93" w:rsidRPr="009D6C93" w:rsidRDefault="009D6C93" w:rsidP="009D6C93">
      <w:pPr>
        <w:numPr>
          <w:ilvl w:val="1"/>
          <w:numId w:val="11"/>
        </w:numPr>
        <w:jc w:val="both"/>
        <w:rPr>
          <w:rFonts w:asciiTheme="minorHAnsi" w:hAnsiTheme="minorHAnsi" w:cstheme="minorHAnsi"/>
        </w:rPr>
      </w:pPr>
      <w:r w:rsidRPr="009D6C93">
        <w:rPr>
          <w:rFonts w:asciiTheme="minorHAnsi" w:hAnsiTheme="minorHAnsi" w:cstheme="minorHAnsi"/>
        </w:rPr>
        <w:t>višak prihoda financiran od nadležnog Ministarstva u iznosu od 4.492,42kn, a sastavljen je od viška prihoda za  rad Županijskih stručnih vijeća 4.157,15kn (1.302,15kn preneseni višak prihoda iz 2021.godine, te ostvareni višak prihoda u izvještajnom razdoblju 2.855,00kn), viška prihoda za projekt izvannastavne aktivnosti 7.868,20kn (preneseni višak prihoda iz 2021.godine), te manjak prihoda za sudske pristojbe u iznosu od 7.532,93kn.</w:t>
      </w:r>
    </w:p>
    <w:p w:rsidR="009D6C93" w:rsidRDefault="009D6C93" w:rsidP="009D6C93">
      <w:pPr>
        <w:numPr>
          <w:ilvl w:val="1"/>
          <w:numId w:val="11"/>
        </w:numPr>
        <w:jc w:val="both"/>
        <w:rPr>
          <w:rFonts w:asciiTheme="minorHAnsi" w:hAnsiTheme="minorHAnsi" w:cstheme="minorHAnsi"/>
        </w:rPr>
      </w:pPr>
      <w:r w:rsidRPr="009D6C93">
        <w:rPr>
          <w:rFonts w:asciiTheme="minorHAnsi" w:hAnsiTheme="minorHAnsi" w:cstheme="minorHAnsi"/>
        </w:rPr>
        <w:t>višak prihoda od prodaje stanova i poslovnog prostora  u iznosu od 35.941,01kn koji će se planski utrošiti u narednom razdoblju  , a sastavljen je od viška prihoda prenesenog iz 2021. godine u iznosu od 34.648,89kn, te viška prihoda ostvarenog u izvještajnom razdoblju u iznosu od 1.292,12kn.</w:t>
      </w:r>
    </w:p>
    <w:p w:rsidR="009D6C93" w:rsidRDefault="009D6C93" w:rsidP="009D6C93">
      <w:pPr>
        <w:jc w:val="both"/>
        <w:rPr>
          <w:rFonts w:asciiTheme="minorHAnsi" w:hAnsiTheme="minorHAnsi" w:cstheme="minorHAnsi"/>
        </w:rPr>
      </w:pPr>
    </w:p>
    <w:p w:rsidR="00546958" w:rsidRDefault="00546958" w:rsidP="009D6C93">
      <w:pPr>
        <w:jc w:val="both"/>
        <w:rPr>
          <w:rFonts w:asciiTheme="minorHAnsi" w:hAnsiTheme="minorHAnsi" w:cstheme="minorHAnsi"/>
        </w:rPr>
      </w:pPr>
    </w:p>
    <w:p w:rsidR="00546958" w:rsidRDefault="008A7BC0" w:rsidP="009D6C93">
      <w:pPr>
        <w:jc w:val="both"/>
        <w:rPr>
          <w:rFonts w:asciiTheme="minorHAnsi" w:hAnsiTheme="minorHAnsi" w:cstheme="minorHAnsi"/>
        </w:rPr>
      </w:pPr>
      <w:r>
        <w:rPr>
          <w:rFonts w:asciiTheme="minorHAnsi" w:hAnsiTheme="minorHAnsi" w:cstheme="minorHAnsi"/>
        </w:rPr>
        <w:t xml:space="preserve">Sastavni dio obrazloženja su slijedeće tablice </w:t>
      </w:r>
      <w:r w:rsidR="00546958">
        <w:rPr>
          <w:rFonts w:asciiTheme="minorHAnsi" w:hAnsiTheme="minorHAnsi" w:cstheme="minorHAnsi"/>
        </w:rPr>
        <w:t>:</w:t>
      </w:r>
    </w:p>
    <w:p w:rsidR="00546958" w:rsidRDefault="00546958" w:rsidP="009D6C93">
      <w:pPr>
        <w:jc w:val="both"/>
        <w:rPr>
          <w:rFonts w:asciiTheme="minorHAnsi" w:hAnsiTheme="minorHAnsi" w:cstheme="minorHAnsi"/>
        </w:rPr>
      </w:pPr>
      <w:r>
        <w:rPr>
          <w:rFonts w:asciiTheme="minorHAnsi" w:hAnsiTheme="minorHAnsi" w:cstheme="minorHAnsi"/>
        </w:rPr>
        <w:t>Tablica 1. Stanje potraživanja na dan 30.lipnja 2022.godine u kojoj su navedene vrste potraživanja. Potraživanja navedena u tablici odnose se na posljednje račune za pružene usluge produženog boravka, izrade mliječnog obroka, najma školskog prostora te prodaju stanova koje uglavnom nisu dospjele jer je račun dospijeva na naplatu u srpnju 2022.godine.</w:t>
      </w:r>
    </w:p>
    <w:p w:rsidR="00546958" w:rsidRDefault="0092730D" w:rsidP="009D6C93">
      <w:pPr>
        <w:jc w:val="both"/>
        <w:rPr>
          <w:rFonts w:asciiTheme="minorHAnsi" w:hAnsiTheme="minorHAnsi" w:cstheme="minorHAnsi"/>
        </w:rPr>
      </w:pPr>
      <w:r>
        <w:rPr>
          <w:rFonts w:asciiTheme="minorHAnsi" w:hAnsiTheme="minorHAnsi" w:cstheme="minorHAnsi"/>
        </w:rPr>
        <w:t>Tablica 2.Popis sudskih sporova u tijeku na dan 30.lipnja 2022.godine.</w:t>
      </w:r>
    </w:p>
    <w:p w:rsidR="0092730D" w:rsidRDefault="0092730D" w:rsidP="009D6C93">
      <w:pPr>
        <w:jc w:val="both"/>
        <w:rPr>
          <w:rFonts w:asciiTheme="minorHAnsi" w:hAnsiTheme="minorHAnsi" w:cstheme="minorHAnsi"/>
        </w:rPr>
      </w:pPr>
      <w:r>
        <w:rPr>
          <w:rFonts w:asciiTheme="minorHAnsi" w:hAnsiTheme="minorHAnsi" w:cstheme="minorHAnsi"/>
        </w:rPr>
        <w:t>Tablica Pregled zaduživanja po vrsti instrumenta, valutnoj,</w:t>
      </w:r>
      <w:r w:rsidR="00695271">
        <w:rPr>
          <w:rFonts w:asciiTheme="minorHAnsi" w:hAnsiTheme="minorHAnsi" w:cstheme="minorHAnsi"/>
        </w:rPr>
        <w:t xml:space="preserve"> </w:t>
      </w:r>
      <w:r>
        <w:rPr>
          <w:rFonts w:asciiTheme="minorHAnsi" w:hAnsiTheme="minorHAnsi" w:cstheme="minorHAnsi"/>
        </w:rPr>
        <w:t>kamatnoj i ročnoj strukturi i stanje kredita i zajmova na dan 30.06.2022. godine čega Škola nema.</w:t>
      </w:r>
    </w:p>
    <w:p w:rsidR="0092730D" w:rsidRDefault="0092730D" w:rsidP="009D6C93">
      <w:pPr>
        <w:jc w:val="both"/>
        <w:rPr>
          <w:rFonts w:asciiTheme="minorHAnsi" w:hAnsiTheme="minorHAnsi" w:cstheme="minorHAnsi"/>
        </w:rPr>
      </w:pPr>
      <w:r>
        <w:rPr>
          <w:rFonts w:asciiTheme="minorHAnsi" w:hAnsiTheme="minorHAnsi" w:cstheme="minorHAnsi"/>
        </w:rPr>
        <w:t>Tablica 4. Popis ugovorenih odnosa i slično koji uz ispunjenje određenih uvjeta mogu postati obveza na dan 30.06.2022.</w:t>
      </w:r>
      <w:r w:rsidR="00695271">
        <w:rPr>
          <w:rFonts w:asciiTheme="minorHAnsi" w:hAnsiTheme="minorHAnsi" w:cstheme="minorHAnsi"/>
        </w:rPr>
        <w:t xml:space="preserve"> čega Škola nema.</w:t>
      </w:r>
    </w:p>
    <w:p w:rsidR="0092730D" w:rsidRDefault="0092730D" w:rsidP="0092730D">
      <w:pPr>
        <w:jc w:val="both"/>
        <w:rPr>
          <w:rFonts w:asciiTheme="minorHAnsi" w:hAnsiTheme="minorHAnsi" w:cstheme="minorHAnsi"/>
        </w:rPr>
      </w:pPr>
      <w:r>
        <w:rPr>
          <w:rFonts w:asciiTheme="minorHAnsi" w:hAnsiTheme="minorHAnsi" w:cstheme="minorHAnsi"/>
        </w:rPr>
        <w:t>Tablica 5.</w:t>
      </w:r>
      <w:r w:rsidRPr="0092730D">
        <w:rPr>
          <w:rFonts w:asciiTheme="minorHAnsi" w:hAnsiTheme="minorHAnsi" w:cstheme="minorHAnsi"/>
        </w:rPr>
        <w:t xml:space="preserve"> </w:t>
      </w:r>
      <w:r>
        <w:rPr>
          <w:rFonts w:asciiTheme="minorHAnsi" w:hAnsiTheme="minorHAnsi" w:cstheme="minorHAnsi"/>
        </w:rPr>
        <w:t>Popis ugovorenih odnosa i slično koji uz ispunjenje određenih uvjeta mogu postati imovina na dan 30.06.2022.</w:t>
      </w:r>
      <w:r w:rsidR="00695271">
        <w:rPr>
          <w:rFonts w:asciiTheme="minorHAnsi" w:hAnsiTheme="minorHAnsi" w:cstheme="minorHAnsi"/>
        </w:rPr>
        <w:t xml:space="preserve"> čega Škola nema.</w:t>
      </w:r>
    </w:p>
    <w:p w:rsidR="0092730D" w:rsidRDefault="0092730D" w:rsidP="0092730D">
      <w:pPr>
        <w:jc w:val="both"/>
        <w:rPr>
          <w:rFonts w:asciiTheme="minorHAnsi" w:hAnsiTheme="minorHAnsi" w:cstheme="minorHAnsi"/>
        </w:rPr>
      </w:pPr>
      <w:r>
        <w:rPr>
          <w:rFonts w:asciiTheme="minorHAnsi" w:hAnsiTheme="minorHAnsi" w:cstheme="minorHAnsi"/>
        </w:rPr>
        <w:t>Tablica 6. Stanje obveza na dan 30.lipnja 2022.godine.</w:t>
      </w:r>
      <w:r w:rsidR="00D37E4F">
        <w:rPr>
          <w:rFonts w:asciiTheme="minorHAnsi" w:hAnsiTheme="minorHAnsi" w:cstheme="minorHAnsi"/>
        </w:rPr>
        <w:t>, razvrstanih prema dospijeću.</w:t>
      </w:r>
    </w:p>
    <w:p w:rsidR="00D37E4F" w:rsidRDefault="00D37E4F" w:rsidP="0092730D">
      <w:pPr>
        <w:jc w:val="both"/>
        <w:rPr>
          <w:rFonts w:asciiTheme="minorHAnsi" w:hAnsiTheme="minorHAnsi" w:cstheme="minorHAnsi"/>
        </w:rPr>
      </w:pPr>
    </w:p>
    <w:p w:rsidR="00D37E4F" w:rsidRDefault="00D37E4F" w:rsidP="0092730D">
      <w:pPr>
        <w:jc w:val="both"/>
        <w:rPr>
          <w:rFonts w:asciiTheme="minorHAnsi" w:hAnsiTheme="minorHAnsi" w:cstheme="minorHAnsi"/>
        </w:rPr>
      </w:pPr>
      <w:r>
        <w:rPr>
          <w:rFonts w:asciiTheme="minorHAnsi" w:hAnsiTheme="minorHAnsi" w:cstheme="minorHAnsi"/>
        </w:rPr>
        <w:t>Škola ne koristi sredstva fondova Europske unije.</w:t>
      </w:r>
    </w:p>
    <w:p w:rsidR="00695271" w:rsidRDefault="00695271" w:rsidP="0092730D">
      <w:pPr>
        <w:jc w:val="both"/>
        <w:rPr>
          <w:rFonts w:asciiTheme="minorHAnsi" w:hAnsiTheme="minorHAnsi" w:cstheme="minorHAnsi"/>
        </w:rPr>
      </w:pPr>
      <w:r>
        <w:rPr>
          <w:rFonts w:asciiTheme="minorHAnsi" w:hAnsiTheme="minorHAnsi" w:cstheme="minorHAnsi"/>
        </w:rPr>
        <w:t>Škola nema primitaka i izdatka u promatranom razdoblju.</w:t>
      </w:r>
    </w:p>
    <w:p w:rsidR="002375AB" w:rsidRDefault="002375AB" w:rsidP="002375AB">
      <w:pPr>
        <w:jc w:val="both"/>
        <w:rPr>
          <w:rFonts w:asciiTheme="minorHAnsi" w:hAnsiTheme="minorHAnsi" w:cstheme="minorHAnsi"/>
        </w:rPr>
      </w:pPr>
    </w:p>
    <w:p w:rsidR="002375AB" w:rsidRDefault="002375AB" w:rsidP="002375AB">
      <w:pPr>
        <w:jc w:val="both"/>
        <w:rPr>
          <w:rFonts w:asciiTheme="minorHAnsi" w:hAnsiTheme="minorHAnsi" w:cstheme="minorHAnsi"/>
        </w:rPr>
      </w:pPr>
    </w:p>
    <w:p w:rsidR="002375AB" w:rsidRDefault="002375AB" w:rsidP="002375AB">
      <w:pPr>
        <w:jc w:val="both"/>
        <w:rPr>
          <w:rFonts w:asciiTheme="minorHAnsi" w:hAnsiTheme="minorHAnsi" w:cstheme="minorHAnsi"/>
        </w:rPr>
      </w:pPr>
    </w:p>
    <w:p w:rsidR="002375AB" w:rsidRPr="000909E2" w:rsidRDefault="002375AB" w:rsidP="002375AB">
      <w:pPr>
        <w:jc w:val="both"/>
        <w:rPr>
          <w:rFonts w:ascii="Arial" w:hAnsi="Arial" w:cs="Arial"/>
          <w:sz w:val="20"/>
          <w:szCs w:val="20"/>
        </w:rPr>
      </w:pPr>
      <w:r w:rsidRPr="000909E2">
        <w:rPr>
          <w:rFonts w:ascii="Arial" w:hAnsi="Arial" w:cs="Arial"/>
          <w:sz w:val="20"/>
          <w:szCs w:val="20"/>
        </w:rPr>
        <w:t xml:space="preserve">    Voditelj računovodstva </w:t>
      </w:r>
      <w:r w:rsidRPr="000909E2">
        <w:rPr>
          <w:rFonts w:ascii="Arial" w:hAnsi="Arial" w:cs="Arial"/>
          <w:sz w:val="20"/>
          <w:szCs w:val="20"/>
        </w:rPr>
        <w:tab/>
      </w:r>
      <w:r w:rsidRPr="000909E2">
        <w:rPr>
          <w:rFonts w:ascii="Arial" w:hAnsi="Arial" w:cs="Arial"/>
          <w:sz w:val="20"/>
          <w:szCs w:val="20"/>
        </w:rPr>
        <w:tab/>
      </w:r>
      <w:r w:rsidRPr="000909E2">
        <w:rPr>
          <w:rFonts w:ascii="Arial" w:hAnsi="Arial" w:cs="Arial"/>
          <w:sz w:val="20"/>
          <w:szCs w:val="20"/>
        </w:rPr>
        <w:tab/>
      </w:r>
      <w:r w:rsidRPr="000909E2">
        <w:rPr>
          <w:rFonts w:ascii="Arial" w:hAnsi="Arial" w:cs="Arial"/>
          <w:sz w:val="20"/>
          <w:szCs w:val="20"/>
        </w:rPr>
        <w:tab/>
      </w:r>
      <w:r w:rsidRPr="000909E2">
        <w:rPr>
          <w:rFonts w:ascii="Arial" w:hAnsi="Arial" w:cs="Arial"/>
          <w:sz w:val="20"/>
          <w:szCs w:val="20"/>
        </w:rPr>
        <w:tab/>
        <w:t>Ravnatelj Škole</w:t>
      </w:r>
    </w:p>
    <w:p w:rsidR="002375AB" w:rsidRPr="000909E2" w:rsidRDefault="002375AB" w:rsidP="002375AB">
      <w:pPr>
        <w:jc w:val="both"/>
        <w:rPr>
          <w:rFonts w:ascii="Arial" w:hAnsi="Arial" w:cs="Arial"/>
          <w:sz w:val="20"/>
          <w:szCs w:val="20"/>
        </w:rPr>
      </w:pPr>
      <w:r w:rsidRPr="000909E2">
        <w:rPr>
          <w:rFonts w:ascii="Arial" w:hAnsi="Arial" w:cs="Arial"/>
          <w:sz w:val="20"/>
          <w:szCs w:val="20"/>
        </w:rPr>
        <w:t xml:space="preserve">    ___________________                                                    _________________</w:t>
      </w:r>
    </w:p>
    <w:p w:rsidR="002375AB" w:rsidRPr="000909E2" w:rsidRDefault="002375AB" w:rsidP="002375AB">
      <w:pPr>
        <w:jc w:val="both"/>
        <w:rPr>
          <w:rFonts w:ascii="Arial" w:hAnsi="Arial" w:cs="Arial"/>
          <w:sz w:val="20"/>
          <w:szCs w:val="20"/>
        </w:rPr>
      </w:pPr>
      <w:r w:rsidRPr="000909E2">
        <w:rPr>
          <w:rFonts w:ascii="Arial" w:hAnsi="Arial" w:cs="Arial"/>
          <w:sz w:val="20"/>
          <w:szCs w:val="20"/>
        </w:rPr>
        <w:t xml:space="preserve">   Martina </w:t>
      </w:r>
      <w:proofErr w:type="spellStart"/>
      <w:r>
        <w:rPr>
          <w:rFonts w:ascii="Arial" w:hAnsi="Arial" w:cs="Arial"/>
          <w:sz w:val="20"/>
          <w:szCs w:val="20"/>
        </w:rPr>
        <w:t>Ožbolt</w:t>
      </w:r>
      <w:r w:rsidRPr="000909E2">
        <w:rPr>
          <w:rFonts w:ascii="Arial" w:hAnsi="Arial" w:cs="Arial"/>
          <w:sz w:val="20"/>
          <w:szCs w:val="20"/>
        </w:rPr>
        <w:t>,dipl.oec</w:t>
      </w:r>
      <w:proofErr w:type="spellEnd"/>
      <w:r w:rsidRPr="000909E2">
        <w:rPr>
          <w:rFonts w:ascii="Arial" w:hAnsi="Arial" w:cs="Arial"/>
          <w:sz w:val="20"/>
          <w:szCs w:val="20"/>
        </w:rPr>
        <w:t>.</w:t>
      </w:r>
      <w:r w:rsidRPr="000909E2">
        <w:rPr>
          <w:rFonts w:ascii="Arial" w:hAnsi="Arial" w:cs="Arial"/>
          <w:sz w:val="20"/>
          <w:szCs w:val="20"/>
        </w:rPr>
        <w:tab/>
      </w:r>
      <w:r w:rsidRPr="000909E2">
        <w:rPr>
          <w:rFonts w:ascii="Arial" w:hAnsi="Arial" w:cs="Arial"/>
          <w:sz w:val="20"/>
          <w:szCs w:val="20"/>
        </w:rPr>
        <w:tab/>
      </w:r>
      <w:r w:rsidRPr="000909E2">
        <w:rPr>
          <w:rFonts w:ascii="Arial" w:hAnsi="Arial" w:cs="Arial"/>
          <w:sz w:val="20"/>
          <w:szCs w:val="20"/>
        </w:rPr>
        <w:tab/>
      </w:r>
      <w:r w:rsidRPr="000909E2">
        <w:rPr>
          <w:rFonts w:ascii="Arial" w:hAnsi="Arial" w:cs="Arial"/>
          <w:sz w:val="20"/>
          <w:szCs w:val="20"/>
        </w:rPr>
        <w:tab/>
        <w:t xml:space="preserve">     Iva Erceg, </w:t>
      </w:r>
      <w:proofErr w:type="spellStart"/>
      <w:r>
        <w:rPr>
          <w:rFonts w:ascii="Arial" w:hAnsi="Arial" w:cs="Arial"/>
          <w:sz w:val="20"/>
          <w:szCs w:val="20"/>
        </w:rPr>
        <w:t>mag.prim.educ</w:t>
      </w:r>
      <w:proofErr w:type="spellEnd"/>
      <w:r>
        <w:rPr>
          <w:rFonts w:ascii="Arial" w:hAnsi="Arial" w:cs="Arial"/>
          <w:sz w:val="20"/>
          <w:szCs w:val="20"/>
        </w:rPr>
        <w:t>.</w:t>
      </w:r>
    </w:p>
    <w:p w:rsidR="002375AB" w:rsidRDefault="002375AB" w:rsidP="002375AB">
      <w:pPr>
        <w:jc w:val="both"/>
        <w:rPr>
          <w:rFonts w:ascii="Arial" w:hAnsi="Arial" w:cs="Arial"/>
          <w:b/>
          <w:sz w:val="20"/>
          <w:szCs w:val="20"/>
        </w:rPr>
      </w:pPr>
    </w:p>
    <w:p w:rsidR="00C7750C" w:rsidRDefault="00C7750C" w:rsidP="002375AB">
      <w:pPr>
        <w:jc w:val="both"/>
        <w:rPr>
          <w:rFonts w:ascii="Arial" w:eastAsia="Times New Roman" w:hAnsi="Arial" w:cs="Arial"/>
        </w:rPr>
      </w:pPr>
      <w:bookmarkStart w:id="0" w:name="_GoBack"/>
      <w:bookmarkEnd w:id="0"/>
    </w:p>
    <w:sectPr w:rsidR="00C7750C" w:rsidSect="004C26B4">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3A33" w:rsidRDefault="00263A33" w:rsidP="00F3797B">
      <w:r>
        <w:separator/>
      </w:r>
    </w:p>
  </w:endnote>
  <w:endnote w:type="continuationSeparator" w:id="0">
    <w:p w:rsidR="00263A33" w:rsidRDefault="00263A33" w:rsidP="00F37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3A33" w:rsidRDefault="00263A33" w:rsidP="00F3797B">
      <w:r>
        <w:separator/>
      </w:r>
    </w:p>
  </w:footnote>
  <w:footnote w:type="continuationSeparator" w:id="0">
    <w:p w:rsidR="00263A33" w:rsidRDefault="00263A33" w:rsidP="00F3797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97B" w:rsidRPr="006314E3" w:rsidRDefault="00F3797B" w:rsidP="00F3797B">
    <w:pPr>
      <w:tabs>
        <w:tab w:val="center" w:pos="4536"/>
        <w:tab w:val="right" w:pos="9072"/>
      </w:tabs>
      <w:jc w:val="center"/>
      <w:rPr>
        <w:rFonts w:ascii="Garamond" w:eastAsia="Times New Roman" w:hAnsi="Garamond"/>
        <w:b/>
        <w:color w:val="0070C0"/>
        <w:sz w:val="24"/>
        <w:szCs w:val="24"/>
        <w:lang w:eastAsia="hr-HR"/>
      </w:rPr>
    </w:pPr>
    <w:r w:rsidRPr="006314E3">
      <w:rPr>
        <w:noProof/>
        <w:color w:val="0070C0"/>
        <w:lang w:eastAsia="hr-HR"/>
      </w:rPr>
      <w:drawing>
        <wp:anchor distT="0" distB="0" distL="114300" distR="114300" simplePos="0" relativeHeight="251658240" behindDoc="1" locked="0" layoutInCell="1" allowOverlap="1">
          <wp:simplePos x="0" y="0"/>
          <wp:positionH relativeFrom="column">
            <wp:posOffset>-446024</wp:posOffset>
          </wp:positionH>
          <wp:positionV relativeFrom="paragraph">
            <wp:posOffset>-148031</wp:posOffset>
          </wp:positionV>
          <wp:extent cx="1010868" cy="921715"/>
          <wp:effectExtent l="0" t="0" r="0" b="0"/>
          <wp:wrapNone/>
          <wp:docPr id="3" name="Slika 3" descr="C:\Users\Korisnik\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risnik\Desktop\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10868" cy="921715"/>
                  </a:xfrm>
                  <a:prstGeom prst="rect">
                    <a:avLst/>
                  </a:prstGeom>
                  <a:noFill/>
                  <a:ln>
                    <a:noFill/>
                  </a:ln>
                </pic:spPr>
              </pic:pic>
            </a:graphicData>
          </a:graphic>
        </wp:anchor>
      </w:drawing>
    </w:r>
    <w:r w:rsidRPr="006314E3">
      <w:rPr>
        <w:rFonts w:ascii="Garamond" w:eastAsia="Times New Roman" w:hAnsi="Garamond"/>
        <w:b/>
        <w:color w:val="0070C0"/>
        <w:sz w:val="24"/>
        <w:szCs w:val="24"/>
        <w:lang w:eastAsia="hr-HR"/>
      </w:rPr>
      <w:t>OŠ Viktora Cara Emina, Lovran</w:t>
    </w:r>
  </w:p>
  <w:p w:rsidR="00F3797B" w:rsidRPr="006314E3" w:rsidRDefault="00F3797B" w:rsidP="00F3797B">
    <w:pPr>
      <w:tabs>
        <w:tab w:val="center" w:pos="4536"/>
        <w:tab w:val="right" w:pos="9072"/>
      </w:tabs>
      <w:jc w:val="center"/>
      <w:rPr>
        <w:rFonts w:ascii="Garamond" w:eastAsia="Times New Roman" w:hAnsi="Garamond"/>
        <w:color w:val="0070C0"/>
        <w:sz w:val="24"/>
        <w:szCs w:val="24"/>
        <w:lang w:eastAsia="hr-HR"/>
      </w:rPr>
    </w:pPr>
    <w:r w:rsidRPr="006314E3">
      <w:rPr>
        <w:rFonts w:ascii="Garamond" w:eastAsia="Times New Roman" w:hAnsi="Garamond"/>
        <w:color w:val="0070C0"/>
        <w:sz w:val="24"/>
        <w:szCs w:val="24"/>
        <w:lang w:eastAsia="hr-HR"/>
      </w:rPr>
      <w:t>9. rujna 4, 51415 Lovran</w:t>
    </w:r>
  </w:p>
  <w:p w:rsidR="00F3797B" w:rsidRPr="006314E3" w:rsidRDefault="00F3797B" w:rsidP="00F3797B">
    <w:pPr>
      <w:tabs>
        <w:tab w:val="center" w:pos="4536"/>
        <w:tab w:val="right" w:pos="9072"/>
      </w:tabs>
      <w:jc w:val="center"/>
      <w:rPr>
        <w:rFonts w:ascii="Garamond" w:eastAsia="Times New Roman" w:hAnsi="Garamond"/>
        <w:color w:val="0070C0"/>
        <w:sz w:val="24"/>
        <w:szCs w:val="24"/>
        <w:lang w:eastAsia="hr-HR"/>
      </w:rPr>
    </w:pPr>
    <w:r w:rsidRPr="006314E3">
      <w:rPr>
        <w:rFonts w:ascii="Garamond" w:eastAsia="Times New Roman" w:hAnsi="Garamond"/>
        <w:color w:val="0070C0"/>
        <w:sz w:val="24"/>
        <w:szCs w:val="24"/>
        <w:lang w:eastAsia="hr-HR"/>
      </w:rPr>
      <w:t>tel/fax: 051 291 133</w:t>
    </w:r>
  </w:p>
  <w:p w:rsidR="00F3797B" w:rsidRPr="006314E3" w:rsidRDefault="006314E3" w:rsidP="00F3797B">
    <w:pPr>
      <w:pStyle w:val="Zaglavlje"/>
      <w:jc w:val="center"/>
      <w:rPr>
        <w:rFonts w:ascii="Garamond" w:eastAsia="Times New Roman" w:hAnsi="Garamond"/>
        <w:iCs/>
        <w:color w:val="0070C0"/>
        <w:sz w:val="24"/>
        <w:szCs w:val="24"/>
        <w:lang w:eastAsia="hr-HR"/>
      </w:rPr>
    </w:pPr>
    <w:r w:rsidRPr="006314E3">
      <w:rPr>
        <w:rFonts w:ascii="Garamond" w:eastAsia="Times New Roman" w:hAnsi="Garamond"/>
        <w:color w:val="0070C0"/>
        <w:sz w:val="24"/>
        <w:szCs w:val="24"/>
        <w:lang w:eastAsia="hr-HR"/>
      </w:rPr>
      <w:t xml:space="preserve">        </w:t>
    </w:r>
    <w:r>
      <w:rPr>
        <w:rFonts w:ascii="Garamond" w:eastAsia="Times New Roman" w:hAnsi="Garamond"/>
        <w:color w:val="0070C0"/>
        <w:sz w:val="24"/>
        <w:szCs w:val="24"/>
        <w:lang w:eastAsia="hr-HR"/>
      </w:rPr>
      <w:t xml:space="preserve"> </w:t>
    </w:r>
    <w:r w:rsidR="004C721F">
      <w:rPr>
        <w:rFonts w:ascii="Garamond" w:eastAsia="Times New Roman" w:hAnsi="Garamond"/>
        <w:color w:val="0070C0"/>
        <w:sz w:val="24"/>
        <w:szCs w:val="24"/>
        <w:lang w:eastAsia="hr-HR"/>
      </w:rPr>
      <w:t xml:space="preserve">    </w:t>
    </w:r>
    <w:hyperlink r:id="rId2" w:history="1">
      <w:r w:rsidR="004C721F" w:rsidRPr="006314E3">
        <w:rPr>
          <w:rFonts w:ascii="Garamond" w:eastAsia="Times New Roman" w:hAnsi="Garamond"/>
          <w:iCs/>
          <w:color w:val="0070C0"/>
          <w:sz w:val="24"/>
          <w:szCs w:val="24"/>
          <w:lang w:eastAsia="hr-HR"/>
        </w:rPr>
        <w:t>www.os-vcemina-lovran.skole.hr</w:t>
      </w:r>
    </w:hyperlink>
    <w:r w:rsidR="004C721F">
      <w:rPr>
        <w:rFonts w:ascii="Garamond" w:eastAsia="Times New Roman" w:hAnsi="Garamond"/>
        <w:iCs/>
        <w:color w:val="0070C0"/>
        <w:sz w:val="24"/>
        <w:szCs w:val="24"/>
        <w:lang w:eastAsia="hr-HR"/>
      </w:rPr>
      <w:t xml:space="preserve">      </w:t>
    </w:r>
    <w:r w:rsidRPr="006314E3">
      <w:rPr>
        <w:rFonts w:ascii="Garamond" w:eastAsia="Times New Roman" w:hAnsi="Garamond"/>
        <w:color w:val="0070C0"/>
        <w:sz w:val="24"/>
        <w:szCs w:val="24"/>
        <w:lang w:eastAsia="hr-HR"/>
      </w:rPr>
      <w:t xml:space="preserve"> </w:t>
    </w:r>
    <w:r w:rsidR="00F3797B" w:rsidRPr="006314E3">
      <w:rPr>
        <w:rFonts w:ascii="Garamond" w:eastAsia="Times New Roman" w:hAnsi="Garamond"/>
        <w:color w:val="0070C0"/>
        <w:sz w:val="24"/>
        <w:szCs w:val="24"/>
        <w:lang w:eastAsia="hr-HR"/>
      </w:rPr>
      <w:t xml:space="preserve">e-mail: </w:t>
    </w:r>
    <w:hyperlink r:id="rId3" w:history="1">
      <w:r w:rsidR="00F3797B" w:rsidRPr="006314E3">
        <w:rPr>
          <w:rFonts w:ascii="Garamond" w:eastAsia="Times New Roman" w:hAnsi="Garamond" w:cs="Arial"/>
          <w:color w:val="0070C0"/>
          <w:sz w:val="24"/>
          <w:szCs w:val="24"/>
          <w:lang w:eastAsia="hr-HR"/>
        </w:rPr>
        <w:t>ured@os-vcemina-lovran.skole.hr</w:t>
      </w:r>
    </w:hyperlink>
    <w:r w:rsidR="00F3797B" w:rsidRPr="006314E3">
      <w:rPr>
        <w:rFonts w:ascii="Garamond" w:eastAsia="Times New Roman" w:hAnsi="Garamond"/>
        <w:color w:val="0070C0"/>
        <w:sz w:val="24"/>
        <w:szCs w:val="24"/>
        <w:lang w:eastAsia="hr-HR"/>
      </w:rPr>
      <w:t xml:space="preserve"> </w:t>
    </w:r>
    <w:r w:rsidRPr="006314E3">
      <w:rPr>
        <w:rFonts w:ascii="Garamond" w:eastAsia="Times New Roman" w:hAnsi="Garamond"/>
        <w:color w:val="0070C0"/>
        <w:sz w:val="24"/>
        <w:szCs w:val="24"/>
        <w:lang w:eastAsia="hr-HR"/>
      </w:rPr>
      <w:t xml:space="preserve">  </w:t>
    </w:r>
  </w:p>
  <w:p w:rsidR="006314E3" w:rsidRPr="006314E3" w:rsidRDefault="006314E3" w:rsidP="006314E3">
    <w:pPr>
      <w:pStyle w:val="Zaglavlje"/>
      <w:tabs>
        <w:tab w:val="clear" w:pos="9072"/>
        <w:tab w:val="right" w:pos="9639"/>
      </w:tabs>
      <w:ind w:left="-709"/>
      <w:jc w:val="center"/>
      <w:rPr>
        <w:rFonts w:ascii="Garamond" w:eastAsia="Times New Roman" w:hAnsi="Garamond"/>
        <w:iCs/>
        <w:color w:val="0070C0"/>
        <w:sz w:val="24"/>
        <w:szCs w:val="24"/>
        <w:lang w:eastAsia="hr-HR"/>
      </w:rPr>
    </w:pPr>
    <w:r w:rsidRPr="006314E3">
      <w:rPr>
        <w:rFonts w:ascii="Garamond" w:eastAsia="Times New Roman" w:hAnsi="Garamond"/>
        <w:iCs/>
        <w:color w:val="0070C0"/>
        <w:sz w:val="24"/>
        <w:szCs w:val="24"/>
        <w:lang w:eastAsia="hr-HR"/>
      </w:rPr>
      <w:t>_________________________________________________________________________________</w:t>
    </w:r>
  </w:p>
  <w:p w:rsidR="006314E3" w:rsidRPr="006314E3" w:rsidRDefault="006314E3" w:rsidP="00F3797B">
    <w:pPr>
      <w:pStyle w:val="Zaglavlje"/>
      <w:jc w:val="center"/>
      <w:rPr>
        <w:rFonts w:ascii="Garamond" w:eastAsia="Times New Roman" w:hAnsi="Garamond"/>
        <w:iCs/>
        <w:sz w:val="24"/>
        <w:szCs w:val="24"/>
        <w:lang w:eastAsia="hr-HR"/>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F07BF"/>
    <w:multiLevelType w:val="hybridMultilevel"/>
    <w:tmpl w:val="632C2834"/>
    <w:lvl w:ilvl="0" w:tplc="D05293FC">
      <w:start w:val="1"/>
      <w:numFmt w:val="bullet"/>
      <w:lvlText w:val=""/>
      <w:lvlJc w:val="left"/>
      <w:pPr>
        <w:ind w:left="720" w:hanging="360"/>
      </w:pPr>
      <w:rPr>
        <w:rFonts w:ascii="Wingdings" w:hAnsi="Wingdings" w:hint="default"/>
        <w:color w:val="4DB17B"/>
        <w:position w:val="0"/>
        <w:sz w:val="36"/>
      </w:rPr>
    </w:lvl>
    <w:lvl w:ilvl="1" w:tplc="A23093D2">
      <w:numFmt w:val="bullet"/>
      <w:lvlText w:val="-"/>
      <w:lvlJc w:val="left"/>
      <w:pPr>
        <w:ind w:left="1500" w:hanging="420"/>
      </w:pPr>
      <w:rPr>
        <w:rFonts w:ascii="Times New Roman" w:eastAsia="Calibri" w:hAnsi="Times New Roman" w:cs="Times New Roman" w:hint="default"/>
      </w:r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15:restartNumberingAfterBreak="0">
    <w:nsid w:val="1D736F89"/>
    <w:multiLevelType w:val="hybridMultilevel"/>
    <w:tmpl w:val="7234B29C"/>
    <w:lvl w:ilvl="0" w:tplc="9812601C">
      <w:numFmt w:val="bullet"/>
      <w:lvlText w:val="-"/>
      <w:lvlJc w:val="left"/>
      <w:pPr>
        <w:ind w:left="720" w:hanging="360"/>
      </w:pPr>
      <w:rPr>
        <w:rFonts w:ascii="Calibri" w:eastAsiaTheme="minorEastAsia"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1B732EB"/>
    <w:multiLevelType w:val="hybridMultilevel"/>
    <w:tmpl w:val="622CAD46"/>
    <w:lvl w:ilvl="0" w:tplc="BD1EA286">
      <w:start w:val="3"/>
      <w:numFmt w:val="bullet"/>
      <w:lvlText w:val="-"/>
      <w:lvlJc w:val="left"/>
      <w:pPr>
        <w:ind w:left="720" w:hanging="360"/>
      </w:pPr>
      <w:rPr>
        <w:rFonts w:ascii="Cambria" w:eastAsia="Times New Roman" w:hAnsi="Cambri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6DC1AC6"/>
    <w:multiLevelType w:val="hybridMultilevel"/>
    <w:tmpl w:val="C1FEE8BA"/>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4" w15:restartNumberingAfterBreak="0">
    <w:nsid w:val="47AC637F"/>
    <w:multiLevelType w:val="hybridMultilevel"/>
    <w:tmpl w:val="966E921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551E1C24"/>
    <w:multiLevelType w:val="hybridMultilevel"/>
    <w:tmpl w:val="94E2386A"/>
    <w:lvl w:ilvl="0" w:tplc="DAFC9000">
      <w:start w:val="3"/>
      <w:numFmt w:val="decimal"/>
      <w:lvlText w:val="%1."/>
      <w:lvlJc w:val="left"/>
      <w:pPr>
        <w:tabs>
          <w:tab w:val="num" w:pos="720"/>
        </w:tabs>
        <w:ind w:left="720" w:hanging="360"/>
      </w:pPr>
      <w:rPr>
        <w:rFonts w:hint="default"/>
      </w:rPr>
    </w:lvl>
    <w:lvl w:ilvl="1" w:tplc="041A0001">
      <w:start w:val="1"/>
      <w:numFmt w:val="bullet"/>
      <w:lvlText w:val=""/>
      <w:lvlJc w:val="left"/>
      <w:pPr>
        <w:tabs>
          <w:tab w:val="num" w:pos="1440"/>
        </w:tabs>
        <w:ind w:left="1440" w:hanging="360"/>
      </w:pPr>
      <w:rPr>
        <w:rFonts w:ascii="Symbol" w:hAnsi="Symbol" w:hint="default"/>
      </w:rPr>
    </w:lvl>
    <w:lvl w:ilvl="2" w:tplc="041A000B">
      <w:start w:val="1"/>
      <w:numFmt w:val="bullet"/>
      <w:lvlText w:val=""/>
      <w:lvlJc w:val="left"/>
      <w:pPr>
        <w:tabs>
          <w:tab w:val="num" w:pos="2340"/>
        </w:tabs>
        <w:ind w:left="2340" w:hanging="360"/>
      </w:pPr>
      <w:rPr>
        <w:rFonts w:ascii="Wingdings" w:hAnsi="Wingdings" w:hint="default"/>
      </w:r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 w15:restartNumberingAfterBreak="0">
    <w:nsid w:val="55492889"/>
    <w:multiLevelType w:val="hybridMultilevel"/>
    <w:tmpl w:val="9C5E3CB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5B8074AA"/>
    <w:multiLevelType w:val="hybridMultilevel"/>
    <w:tmpl w:val="B8F88998"/>
    <w:lvl w:ilvl="0" w:tplc="041A000F">
      <w:start w:val="1"/>
      <w:numFmt w:val="decimal"/>
      <w:lvlText w:val="%1."/>
      <w:lvlJc w:val="left"/>
      <w:pPr>
        <w:ind w:left="765" w:hanging="360"/>
      </w:pPr>
    </w:lvl>
    <w:lvl w:ilvl="1" w:tplc="041A0019" w:tentative="1">
      <w:start w:val="1"/>
      <w:numFmt w:val="lowerLetter"/>
      <w:lvlText w:val="%2."/>
      <w:lvlJc w:val="left"/>
      <w:pPr>
        <w:ind w:left="1485" w:hanging="360"/>
      </w:pPr>
    </w:lvl>
    <w:lvl w:ilvl="2" w:tplc="041A001B" w:tentative="1">
      <w:start w:val="1"/>
      <w:numFmt w:val="lowerRoman"/>
      <w:lvlText w:val="%3."/>
      <w:lvlJc w:val="right"/>
      <w:pPr>
        <w:ind w:left="2205" w:hanging="180"/>
      </w:pPr>
    </w:lvl>
    <w:lvl w:ilvl="3" w:tplc="041A000F" w:tentative="1">
      <w:start w:val="1"/>
      <w:numFmt w:val="decimal"/>
      <w:lvlText w:val="%4."/>
      <w:lvlJc w:val="left"/>
      <w:pPr>
        <w:ind w:left="2925" w:hanging="360"/>
      </w:pPr>
    </w:lvl>
    <w:lvl w:ilvl="4" w:tplc="041A0019" w:tentative="1">
      <w:start w:val="1"/>
      <w:numFmt w:val="lowerLetter"/>
      <w:lvlText w:val="%5."/>
      <w:lvlJc w:val="left"/>
      <w:pPr>
        <w:ind w:left="3645" w:hanging="360"/>
      </w:pPr>
    </w:lvl>
    <w:lvl w:ilvl="5" w:tplc="041A001B" w:tentative="1">
      <w:start w:val="1"/>
      <w:numFmt w:val="lowerRoman"/>
      <w:lvlText w:val="%6."/>
      <w:lvlJc w:val="right"/>
      <w:pPr>
        <w:ind w:left="4365" w:hanging="180"/>
      </w:pPr>
    </w:lvl>
    <w:lvl w:ilvl="6" w:tplc="041A000F" w:tentative="1">
      <w:start w:val="1"/>
      <w:numFmt w:val="decimal"/>
      <w:lvlText w:val="%7."/>
      <w:lvlJc w:val="left"/>
      <w:pPr>
        <w:ind w:left="5085" w:hanging="360"/>
      </w:pPr>
    </w:lvl>
    <w:lvl w:ilvl="7" w:tplc="041A0019" w:tentative="1">
      <w:start w:val="1"/>
      <w:numFmt w:val="lowerLetter"/>
      <w:lvlText w:val="%8."/>
      <w:lvlJc w:val="left"/>
      <w:pPr>
        <w:ind w:left="5805" w:hanging="360"/>
      </w:pPr>
    </w:lvl>
    <w:lvl w:ilvl="8" w:tplc="041A001B" w:tentative="1">
      <w:start w:val="1"/>
      <w:numFmt w:val="lowerRoman"/>
      <w:lvlText w:val="%9."/>
      <w:lvlJc w:val="right"/>
      <w:pPr>
        <w:ind w:left="6525" w:hanging="180"/>
      </w:pPr>
    </w:lvl>
  </w:abstractNum>
  <w:abstractNum w:abstractNumId="8" w15:restartNumberingAfterBreak="0">
    <w:nsid w:val="609B6173"/>
    <w:multiLevelType w:val="hybridMultilevel"/>
    <w:tmpl w:val="36BE9DFE"/>
    <w:lvl w:ilvl="0" w:tplc="041A000F">
      <w:start w:val="1"/>
      <w:numFmt w:val="decimal"/>
      <w:lvlText w:val="%1."/>
      <w:lvlJc w:val="left"/>
      <w:pPr>
        <w:ind w:left="644" w:hanging="360"/>
      </w:pPr>
    </w:lvl>
    <w:lvl w:ilvl="1" w:tplc="041A0019">
      <w:start w:val="1"/>
      <w:numFmt w:val="lowerLetter"/>
      <w:lvlText w:val="%2."/>
      <w:lvlJc w:val="left"/>
      <w:pPr>
        <w:ind w:left="1352"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6AF502DA"/>
    <w:multiLevelType w:val="hybridMultilevel"/>
    <w:tmpl w:val="4754C55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703206C4"/>
    <w:multiLevelType w:val="hybridMultilevel"/>
    <w:tmpl w:val="2F5649C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0"/>
  </w:num>
  <w:num w:numId="4">
    <w:abstractNumId w:val="1"/>
  </w:num>
  <w:num w:numId="5">
    <w:abstractNumId w:val="0"/>
  </w:num>
  <w:num w:numId="6">
    <w:abstractNumId w:val="3"/>
  </w:num>
  <w:num w:numId="7">
    <w:abstractNumId w:val="6"/>
  </w:num>
  <w:num w:numId="8">
    <w:abstractNumId w:val="4"/>
  </w:num>
  <w:num w:numId="9">
    <w:abstractNumId w:val="7"/>
  </w:num>
  <w:num w:numId="10">
    <w:abstractNumId w:val="9"/>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3797B"/>
    <w:rsid w:val="0006020A"/>
    <w:rsid w:val="00077A75"/>
    <w:rsid w:val="00085BE2"/>
    <w:rsid w:val="000C54C8"/>
    <w:rsid w:val="000E24B6"/>
    <w:rsid w:val="00111BDB"/>
    <w:rsid w:val="001221F4"/>
    <w:rsid w:val="0014323A"/>
    <w:rsid w:val="001515BD"/>
    <w:rsid w:val="00161DF2"/>
    <w:rsid w:val="00173886"/>
    <w:rsid w:val="00185F55"/>
    <w:rsid w:val="001C7D22"/>
    <w:rsid w:val="002074EB"/>
    <w:rsid w:val="0021240D"/>
    <w:rsid w:val="00215129"/>
    <w:rsid w:val="002267FC"/>
    <w:rsid w:val="0022716D"/>
    <w:rsid w:val="002375AB"/>
    <w:rsid w:val="00244274"/>
    <w:rsid w:val="00263A33"/>
    <w:rsid w:val="00284A12"/>
    <w:rsid w:val="00287879"/>
    <w:rsid w:val="002932CA"/>
    <w:rsid w:val="00294C30"/>
    <w:rsid w:val="002B3FA6"/>
    <w:rsid w:val="002D6513"/>
    <w:rsid w:val="002D7BAA"/>
    <w:rsid w:val="002F40B6"/>
    <w:rsid w:val="002F589D"/>
    <w:rsid w:val="00304BC1"/>
    <w:rsid w:val="00305E42"/>
    <w:rsid w:val="0031083C"/>
    <w:rsid w:val="00357E09"/>
    <w:rsid w:val="00361F42"/>
    <w:rsid w:val="00365208"/>
    <w:rsid w:val="003A458F"/>
    <w:rsid w:val="003C07E7"/>
    <w:rsid w:val="003D54E4"/>
    <w:rsid w:val="003D6B06"/>
    <w:rsid w:val="003D73FC"/>
    <w:rsid w:val="003F4C23"/>
    <w:rsid w:val="00412289"/>
    <w:rsid w:val="00417D83"/>
    <w:rsid w:val="004250D2"/>
    <w:rsid w:val="00426C9E"/>
    <w:rsid w:val="00435C57"/>
    <w:rsid w:val="004361E2"/>
    <w:rsid w:val="00477380"/>
    <w:rsid w:val="00480790"/>
    <w:rsid w:val="00482317"/>
    <w:rsid w:val="0048339E"/>
    <w:rsid w:val="00487021"/>
    <w:rsid w:val="00494A95"/>
    <w:rsid w:val="004A44BB"/>
    <w:rsid w:val="004A4D97"/>
    <w:rsid w:val="004B024D"/>
    <w:rsid w:val="004B1D11"/>
    <w:rsid w:val="004C26B4"/>
    <w:rsid w:val="004C721F"/>
    <w:rsid w:val="004C7C9C"/>
    <w:rsid w:val="004E7B1E"/>
    <w:rsid w:val="005147B7"/>
    <w:rsid w:val="0052084E"/>
    <w:rsid w:val="005273EE"/>
    <w:rsid w:val="0053226C"/>
    <w:rsid w:val="00532A9E"/>
    <w:rsid w:val="00546958"/>
    <w:rsid w:val="005566BF"/>
    <w:rsid w:val="00566E0C"/>
    <w:rsid w:val="005A1681"/>
    <w:rsid w:val="005A3DDC"/>
    <w:rsid w:val="005B5883"/>
    <w:rsid w:val="005C50D3"/>
    <w:rsid w:val="005D7BFC"/>
    <w:rsid w:val="005E1619"/>
    <w:rsid w:val="005E3163"/>
    <w:rsid w:val="0060351F"/>
    <w:rsid w:val="006314E3"/>
    <w:rsid w:val="00641AA5"/>
    <w:rsid w:val="00695271"/>
    <w:rsid w:val="006A547E"/>
    <w:rsid w:val="006B6C98"/>
    <w:rsid w:val="006D55B4"/>
    <w:rsid w:val="006F176B"/>
    <w:rsid w:val="006F7868"/>
    <w:rsid w:val="007046E5"/>
    <w:rsid w:val="00711490"/>
    <w:rsid w:val="00713047"/>
    <w:rsid w:val="007239A8"/>
    <w:rsid w:val="00724111"/>
    <w:rsid w:val="007244F9"/>
    <w:rsid w:val="0073420D"/>
    <w:rsid w:val="00750F17"/>
    <w:rsid w:val="0075788A"/>
    <w:rsid w:val="00764133"/>
    <w:rsid w:val="0076745D"/>
    <w:rsid w:val="00767F27"/>
    <w:rsid w:val="00776DB4"/>
    <w:rsid w:val="00781B16"/>
    <w:rsid w:val="007C23F3"/>
    <w:rsid w:val="007C3FB5"/>
    <w:rsid w:val="007F6FF4"/>
    <w:rsid w:val="00801C99"/>
    <w:rsid w:val="00815A8B"/>
    <w:rsid w:val="00836DA9"/>
    <w:rsid w:val="008421E4"/>
    <w:rsid w:val="00850C13"/>
    <w:rsid w:val="00857946"/>
    <w:rsid w:val="00865C8F"/>
    <w:rsid w:val="00872110"/>
    <w:rsid w:val="008A7BC0"/>
    <w:rsid w:val="008B3AEA"/>
    <w:rsid w:val="008D0150"/>
    <w:rsid w:val="008E370A"/>
    <w:rsid w:val="008F1B5E"/>
    <w:rsid w:val="008F6D54"/>
    <w:rsid w:val="009029AF"/>
    <w:rsid w:val="00925109"/>
    <w:rsid w:val="0092730D"/>
    <w:rsid w:val="0093639E"/>
    <w:rsid w:val="00970171"/>
    <w:rsid w:val="00970E3A"/>
    <w:rsid w:val="00973D9D"/>
    <w:rsid w:val="009860C1"/>
    <w:rsid w:val="009D0547"/>
    <w:rsid w:val="009D5259"/>
    <w:rsid w:val="009D6C93"/>
    <w:rsid w:val="009E0364"/>
    <w:rsid w:val="00A2187A"/>
    <w:rsid w:val="00A23A5E"/>
    <w:rsid w:val="00A25188"/>
    <w:rsid w:val="00A5532C"/>
    <w:rsid w:val="00A61240"/>
    <w:rsid w:val="00A6258A"/>
    <w:rsid w:val="00A70436"/>
    <w:rsid w:val="00A74AFF"/>
    <w:rsid w:val="00A76F73"/>
    <w:rsid w:val="00A849CC"/>
    <w:rsid w:val="00A85023"/>
    <w:rsid w:val="00A85F0D"/>
    <w:rsid w:val="00AA489D"/>
    <w:rsid w:val="00AB77D9"/>
    <w:rsid w:val="00AC36E8"/>
    <w:rsid w:val="00AC376E"/>
    <w:rsid w:val="00AC5CA4"/>
    <w:rsid w:val="00AC69A8"/>
    <w:rsid w:val="00AF27D8"/>
    <w:rsid w:val="00B20D4A"/>
    <w:rsid w:val="00B24498"/>
    <w:rsid w:val="00B47BBC"/>
    <w:rsid w:val="00B54859"/>
    <w:rsid w:val="00B57065"/>
    <w:rsid w:val="00B73E6B"/>
    <w:rsid w:val="00B75355"/>
    <w:rsid w:val="00B96DCF"/>
    <w:rsid w:val="00BB47A9"/>
    <w:rsid w:val="00BE376C"/>
    <w:rsid w:val="00BF00D5"/>
    <w:rsid w:val="00BF3649"/>
    <w:rsid w:val="00C011EE"/>
    <w:rsid w:val="00C2297A"/>
    <w:rsid w:val="00C23AB3"/>
    <w:rsid w:val="00C57053"/>
    <w:rsid w:val="00C67AC4"/>
    <w:rsid w:val="00C7750C"/>
    <w:rsid w:val="00C94318"/>
    <w:rsid w:val="00C94EF9"/>
    <w:rsid w:val="00CA70C1"/>
    <w:rsid w:val="00CB0296"/>
    <w:rsid w:val="00CB4DBE"/>
    <w:rsid w:val="00D02016"/>
    <w:rsid w:val="00D21C79"/>
    <w:rsid w:val="00D22241"/>
    <w:rsid w:val="00D37E4F"/>
    <w:rsid w:val="00D62A36"/>
    <w:rsid w:val="00D85BE8"/>
    <w:rsid w:val="00D926EC"/>
    <w:rsid w:val="00DA7479"/>
    <w:rsid w:val="00DB3C4A"/>
    <w:rsid w:val="00DC4F46"/>
    <w:rsid w:val="00E14C65"/>
    <w:rsid w:val="00E4135F"/>
    <w:rsid w:val="00E71A7C"/>
    <w:rsid w:val="00E724BD"/>
    <w:rsid w:val="00E75063"/>
    <w:rsid w:val="00E803E6"/>
    <w:rsid w:val="00EA37F4"/>
    <w:rsid w:val="00ED0D2B"/>
    <w:rsid w:val="00EE3C03"/>
    <w:rsid w:val="00EF17D2"/>
    <w:rsid w:val="00F03270"/>
    <w:rsid w:val="00F03F89"/>
    <w:rsid w:val="00F13BC6"/>
    <w:rsid w:val="00F2602B"/>
    <w:rsid w:val="00F3797B"/>
    <w:rsid w:val="00F60635"/>
    <w:rsid w:val="00F74E07"/>
    <w:rsid w:val="00F82F03"/>
    <w:rsid w:val="00F91EFC"/>
    <w:rsid w:val="00FB2702"/>
    <w:rsid w:val="00FB30E4"/>
    <w:rsid w:val="00FD02D5"/>
    <w:rsid w:val="00FD1E6D"/>
    <w:rsid w:val="00FD50D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D3519C"/>
  <w15:docId w15:val="{C2C35811-A3EC-43E9-97FA-7EB22AE92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883"/>
    <w:pPr>
      <w:spacing w:after="0" w:line="240" w:lineRule="auto"/>
    </w:pPr>
    <w:rPr>
      <w:rFonts w:ascii="Calibri" w:eastAsiaTheme="minorEastAsia"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F3797B"/>
    <w:pPr>
      <w:tabs>
        <w:tab w:val="center" w:pos="4536"/>
        <w:tab w:val="right" w:pos="9072"/>
      </w:tabs>
    </w:pPr>
  </w:style>
  <w:style w:type="character" w:customStyle="1" w:styleId="ZaglavljeChar">
    <w:name w:val="Zaglavlje Char"/>
    <w:basedOn w:val="Zadanifontodlomka"/>
    <w:link w:val="Zaglavlje"/>
    <w:uiPriority w:val="99"/>
    <w:rsid w:val="00F3797B"/>
  </w:style>
  <w:style w:type="paragraph" w:styleId="Podnoje">
    <w:name w:val="footer"/>
    <w:basedOn w:val="Normal"/>
    <w:link w:val="PodnojeChar"/>
    <w:uiPriority w:val="99"/>
    <w:unhideWhenUsed/>
    <w:rsid w:val="00F3797B"/>
    <w:pPr>
      <w:tabs>
        <w:tab w:val="center" w:pos="4536"/>
        <w:tab w:val="right" w:pos="9072"/>
      </w:tabs>
    </w:pPr>
  </w:style>
  <w:style w:type="character" w:customStyle="1" w:styleId="PodnojeChar">
    <w:name w:val="Podnožje Char"/>
    <w:basedOn w:val="Zadanifontodlomka"/>
    <w:link w:val="Podnoje"/>
    <w:uiPriority w:val="99"/>
    <w:rsid w:val="00F3797B"/>
  </w:style>
  <w:style w:type="paragraph" w:styleId="Tekstbalonia">
    <w:name w:val="Balloon Text"/>
    <w:basedOn w:val="Normal"/>
    <w:link w:val="TekstbaloniaChar"/>
    <w:uiPriority w:val="99"/>
    <w:semiHidden/>
    <w:unhideWhenUsed/>
    <w:rsid w:val="00F3797B"/>
    <w:rPr>
      <w:rFonts w:ascii="Tahoma" w:hAnsi="Tahoma" w:cs="Tahoma"/>
      <w:sz w:val="16"/>
      <w:szCs w:val="16"/>
    </w:rPr>
  </w:style>
  <w:style w:type="character" w:customStyle="1" w:styleId="TekstbaloniaChar">
    <w:name w:val="Tekst balončića Char"/>
    <w:basedOn w:val="Zadanifontodlomka"/>
    <w:link w:val="Tekstbalonia"/>
    <w:uiPriority w:val="99"/>
    <w:semiHidden/>
    <w:rsid w:val="00F3797B"/>
    <w:rPr>
      <w:rFonts w:ascii="Tahoma" w:hAnsi="Tahoma" w:cs="Tahoma"/>
      <w:sz w:val="16"/>
      <w:szCs w:val="16"/>
    </w:rPr>
  </w:style>
  <w:style w:type="table" w:styleId="Reetkatablice">
    <w:name w:val="Table Grid"/>
    <w:basedOn w:val="Obinatablica"/>
    <w:uiPriority w:val="59"/>
    <w:rsid w:val="007046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proredaChar">
    <w:name w:val="Bez proreda Char"/>
    <w:basedOn w:val="Zadanifontodlomka"/>
    <w:link w:val="Bezproreda"/>
    <w:uiPriority w:val="1"/>
    <w:locked/>
    <w:rsid w:val="00FB2702"/>
    <w:rPr>
      <w:rFonts w:ascii="Calibri" w:eastAsia="Calibri" w:hAnsi="Calibri"/>
      <w:lang w:val="en-US" w:bidi="en-US"/>
    </w:rPr>
  </w:style>
  <w:style w:type="paragraph" w:styleId="Bezproreda">
    <w:name w:val="No Spacing"/>
    <w:basedOn w:val="Normal"/>
    <w:link w:val="BezproredaChar"/>
    <w:uiPriority w:val="1"/>
    <w:qFormat/>
    <w:rsid w:val="00FB2702"/>
    <w:rPr>
      <w:rFonts w:eastAsia="Calibri" w:cstheme="minorBidi"/>
      <w:lang w:val="en-US" w:bidi="en-US"/>
    </w:rPr>
  </w:style>
  <w:style w:type="paragraph" w:styleId="Obinitekst">
    <w:name w:val="Plain Text"/>
    <w:basedOn w:val="Normal"/>
    <w:link w:val="ObinitekstChar"/>
    <w:uiPriority w:val="99"/>
    <w:semiHidden/>
    <w:unhideWhenUsed/>
    <w:rsid w:val="00641AA5"/>
    <w:rPr>
      <w:rFonts w:ascii="Consolas" w:eastAsia="Calibri" w:hAnsi="Consolas" w:cs="Consolas"/>
      <w:sz w:val="21"/>
      <w:szCs w:val="21"/>
    </w:rPr>
  </w:style>
  <w:style w:type="character" w:customStyle="1" w:styleId="ObinitekstChar">
    <w:name w:val="Obični tekst Char"/>
    <w:basedOn w:val="Zadanifontodlomka"/>
    <w:link w:val="Obinitekst"/>
    <w:uiPriority w:val="99"/>
    <w:semiHidden/>
    <w:rsid w:val="00641AA5"/>
    <w:rPr>
      <w:rFonts w:ascii="Consolas" w:eastAsia="Calibri" w:hAnsi="Consolas" w:cs="Consolas"/>
      <w:sz w:val="21"/>
      <w:szCs w:val="21"/>
    </w:rPr>
  </w:style>
  <w:style w:type="paragraph" w:styleId="Odlomakpopisa">
    <w:name w:val="List Paragraph"/>
    <w:basedOn w:val="Normal"/>
    <w:uiPriority w:val="34"/>
    <w:qFormat/>
    <w:rsid w:val="00412289"/>
    <w:pPr>
      <w:ind w:left="720"/>
      <w:contextualSpacing/>
    </w:pPr>
  </w:style>
  <w:style w:type="paragraph" w:styleId="Tekstfusnote">
    <w:name w:val="footnote text"/>
    <w:basedOn w:val="Normal"/>
    <w:link w:val="TekstfusnoteChar"/>
    <w:rsid w:val="004C26B4"/>
    <w:rPr>
      <w:rFonts w:ascii="Times New Roman" w:eastAsia="Times New Roman" w:hAnsi="Times New Roman"/>
      <w:sz w:val="20"/>
      <w:szCs w:val="20"/>
      <w:lang w:eastAsia="hr-HR"/>
    </w:rPr>
  </w:style>
  <w:style w:type="character" w:customStyle="1" w:styleId="TekstfusnoteChar">
    <w:name w:val="Tekst fusnote Char"/>
    <w:basedOn w:val="Zadanifontodlomka"/>
    <w:link w:val="Tekstfusnote"/>
    <w:rsid w:val="004C26B4"/>
    <w:rPr>
      <w:rFonts w:ascii="Times New Roman" w:eastAsia="Times New Roman" w:hAnsi="Times New Roman" w:cs="Times New Roman"/>
      <w:sz w:val="20"/>
      <w:szCs w:val="20"/>
      <w:lang w:eastAsia="hr-HR"/>
    </w:rPr>
  </w:style>
  <w:style w:type="character" w:styleId="Referencafusnote">
    <w:name w:val="footnote reference"/>
    <w:rsid w:val="004C26B4"/>
    <w:rPr>
      <w:vertAlign w:val="superscript"/>
    </w:rPr>
  </w:style>
  <w:style w:type="paragraph" w:styleId="StandardWeb">
    <w:name w:val="Normal (Web)"/>
    <w:basedOn w:val="Normal"/>
    <w:uiPriority w:val="99"/>
    <w:semiHidden/>
    <w:unhideWhenUsed/>
    <w:rsid w:val="00C7750C"/>
    <w:pPr>
      <w:spacing w:before="100" w:beforeAutospacing="1" w:after="100" w:afterAutospacing="1"/>
    </w:pPr>
    <w:rPr>
      <w:rFonts w:ascii="Times New Roman" w:eastAsiaTheme="minorHAnsi" w:hAnsi="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07890">
      <w:bodyDiv w:val="1"/>
      <w:marLeft w:val="0"/>
      <w:marRight w:val="0"/>
      <w:marTop w:val="0"/>
      <w:marBottom w:val="0"/>
      <w:divBdr>
        <w:top w:val="none" w:sz="0" w:space="0" w:color="auto"/>
        <w:left w:val="none" w:sz="0" w:space="0" w:color="auto"/>
        <w:bottom w:val="none" w:sz="0" w:space="0" w:color="auto"/>
        <w:right w:val="none" w:sz="0" w:space="0" w:color="auto"/>
      </w:divBdr>
    </w:div>
    <w:div w:id="153305642">
      <w:bodyDiv w:val="1"/>
      <w:marLeft w:val="0"/>
      <w:marRight w:val="0"/>
      <w:marTop w:val="0"/>
      <w:marBottom w:val="0"/>
      <w:divBdr>
        <w:top w:val="none" w:sz="0" w:space="0" w:color="auto"/>
        <w:left w:val="none" w:sz="0" w:space="0" w:color="auto"/>
        <w:bottom w:val="none" w:sz="0" w:space="0" w:color="auto"/>
        <w:right w:val="none" w:sz="0" w:space="0" w:color="auto"/>
      </w:divBdr>
    </w:div>
    <w:div w:id="461115984">
      <w:bodyDiv w:val="1"/>
      <w:marLeft w:val="0"/>
      <w:marRight w:val="0"/>
      <w:marTop w:val="0"/>
      <w:marBottom w:val="0"/>
      <w:divBdr>
        <w:top w:val="none" w:sz="0" w:space="0" w:color="auto"/>
        <w:left w:val="none" w:sz="0" w:space="0" w:color="auto"/>
        <w:bottom w:val="none" w:sz="0" w:space="0" w:color="auto"/>
        <w:right w:val="none" w:sz="0" w:space="0" w:color="auto"/>
      </w:divBdr>
    </w:div>
    <w:div w:id="692345904">
      <w:bodyDiv w:val="1"/>
      <w:marLeft w:val="0"/>
      <w:marRight w:val="0"/>
      <w:marTop w:val="0"/>
      <w:marBottom w:val="0"/>
      <w:divBdr>
        <w:top w:val="none" w:sz="0" w:space="0" w:color="auto"/>
        <w:left w:val="none" w:sz="0" w:space="0" w:color="auto"/>
        <w:bottom w:val="none" w:sz="0" w:space="0" w:color="auto"/>
        <w:right w:val="none" w:sz="0" w:space="0" w:color="auto"/>
      </w:divBdr>
    </w:div>
    <w:div w:id="787309956">
      <w:bodyDiv w:val="1"/>
      <w:marLeft w:val="0"/>
      <w:marRight w:val="0"/>
      <w:marTop w:val="0"/>
      <w:marBottom w:val="0"/>
      <w:divBdr>
        <w:top w:val="none" w:sz="0" w:space="0" w:color="auto"/>
        <w:left w:val="none" w:sz="0" w:space="0" w:color="auto"/>
        <w:bottom w:val="none" w:sz="0" w:space="0" w:color="auto"/>
        <w:right w:val="none" w:sz="0" w:space="0" w:color="auto"/>
      </w:divBdr>
    </w:div>
    <w:div w:id="984167895">
      <w:bodyDiv w:val="1"/>
      <w:marLeft w:val="0"/>
      <w:marRight w:val="0"/>
      <w:marTop w:val="0"/>
      <w:marBottom w:val="0"/>
      <w:divBdr>
        <w:top w:val="none" w:sz="0" w:space="0" w:color="auto"/>
        <w:left w:val="none" w:sz="0" w:space="0" w:color="auto"/>
        <w:bottom w:val="none" w:sz="0" w:space="0" w:color="auto"/>
        <w:right w:val="none" w:sz="0" w:space="0" w:color="auto"/>
      </w:divBdr>
    </w:div>
    <w:div w:id="1381245179">
      <w:bodyDiv w:val="1"/>
      <w:marLeft w:val="0"/>
      <w:marRight w:val="0"/>
      <w:marTop w:val="0"/>
      <w:marBottom w:val="0"/>
      <w:divBdr>
        <w:top w:val="none" w:sz="0" w:space="0" w:color="auto"/>
        <w:left w:val="none" w:sz="0" w:space="0" w:color="auto"/>
        <w:bottom w:val="none" w:sz="0" w:space="0" w:color="auto"/>
        <w:right w:val="none" w:sz="0" w:space="0" w:color="auto"/>
      </w:divBdr>
    </w:div>
    <w:div w:id="1470589773">
      <w:bodyDiv w:val="1"/>
      <w:marLeft w:val="0"/>
      <w:marRight w:val="0"/>
      <w:marTop w:val="0"/>
      <w:marBottom w:val="0"/>
      <w:divBdr>
        <w:top w:val="none" w:sz="0" w:space="0" w:color="auto"/>
        <w:left w:val="none" w:sz="0" w:space="0" w:color="auto"/>
        <w:bottom w:val="none" w:sz="0" w:space="0" w:color="auto"/>
        <w:right w:val="none" w:sz="0" w:space="0" w:color="auto"/>
      </w:divBdr>
    </w:div>
    <w:div w:id="1917284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ured@os-vcemina-lovran.skole.hr" TargetMode="External"/><Relationship Id="rId2" Type="http://schemas.openxmlformats.org/officeDocument/2006/relationships/hyperlink" Target="http://www.os-vcemina-lovran.skole.hr" TargetMode="External"/><Relationship Id="rId1"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4BDEAE-50A8-4B5F-9687-63276B7F4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824</TotalTime>
  <Pages>4</Pages>
  <Words>1302</Words>
  <Characters>7425</Characters>
  <Application>Microsoft Office Word</Application>
  <DocSecurity>0</DocSecurity>
  <Lines>61</Lines>
  <Paragraphs>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87</cp:revision>
  <cp:lastPrinted>2022-05-04T12:38:00Z</cp:lastPrinted>
  <dcterms:created xsi:type="dcterms:W3CDTF">2017-04-03T09:41:00Z</dcterms:created>
  <dcterms:modified xsi:type="dcterms:W3CDTF">2022-07-26T06:10:00Z</dcterms:modified>
</cp:coreProperties>
</file>